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5F8FD">
      <w:pPr>
        <w:snapToGrid w:val="0"/>
        <w:spacing w:line="500" w:lineRule="exact"/>
        <w:jc w:val="center"/>
        <w:rPr>
          <w:b/>
          <w:sz w:val="36"/>
          <w:szCs w:val="36"/>
        </w:rPr>
      </w:pPr>
      <w:r>
        <w:rPr>
          <w:rFonts w:hint="eastAsia"/>
          <w:b/>
          <w:sz w:val="36"/>
          <w:szCs w:val="36"/>
        </w:rPr>
        <w:t>林地使用权出让合同书</w:t>
      </w:r>
    </w:p>
    <w:p w14:paraId="1DB13422">
      <w:pPr>
        <w:snapToGrid w:val="0"/>
        <w:spacing w:line="500" w:lineRule="exact"/>
        <w:jc w:val="right"/>
        <w:rPr>
          <w:b/>
          <w:sz w:val="28"/>
          <w:szCs w:val="28"/>
        </w:rPr>
      </w:pPr>
    </w:p>
    <w:p w14:paraId="504887CC">
      <w:pPr>
        <w:snapToGrid w:val="0"/>
        <w:spacing w:line="5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出让方（发包方）：邵武市水北镇</w:t>
      </w:r>
      <w:r>
        <w:rPr>
          <w:rFonts w:hint="eastAsia" w:asciiTheme="majorEastAsia" w:hAnsiTheme="majorEastAsia" w:eastAsiaTheme="majorEastAsia" w:cstheme="majorEastAsia"/>
          <w:sz w:val="28"/>
          <w:szCs w:val="28"/>
          <w:lang w:eastAsia="zh-CN"/>
        </w:rPr>
        <w:t>王亭</w:t>
      </w:r>
      <w:r>
        <w:rPr>
          <w:rFonts w:hint="eastAsia" w:asciiTheme="majorEastAsia" w:hAnsiTheme="majorEastAsia" w:eastAsiaTheme="majorEastAsia" w:cstheme="majorEastAsia"/>
          <w:sz w:val="28"/>
          <w:szCs w:val="28"/>
        </w:rPr>
        <w:t>村民委员会（以下简称甲方）</w:t>
      </w:r>
    </w:p>
    <w:p w14:paraId="4C8D267D">
      <w:pPr>
        <w:pStyle w:val="15"/>
        <w:snapToGrid w:val="0"/>
        <w:spacing w:line="500" w:lineRule="exact"/>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rPr>
        <w:t>联系人：</w:t>
      </w:r>
      <w:r>
        <w:rPr>
          <w:rFonts w:hint="eastAsia" w:asciiTheme="majorEastAsia" w:hAnsiTheme="majorEastAsia" w:eastAsiaTheme="majorEastAsia" w:cstheme="majorEastAsia"/>
          <w:sz w:val="28"/>
          <w:szCs w:val="28"/>
          <w:lang w:eastAsia="zh-CN"/>
        </w:rPr>
        <w:t>林金水</w:t>
      </w:r>
    </w:p>
    <w:p w14:paraId="68E17D78">
      <w:pPr>
        <w:pStyle w:val="15"/>
        <w:snapToGrid w:val="0"/>
        <w:spacing w:line="500" w:lineRule="exact"/>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rPr>
        <w:t>联系电话：1</w:t>
      </w:r>
      <w:r>
        <w:rPr>
          <w:rFonts w:hint="eastAsia" w:asciiTheme="majorEastAsia" w:hAnsiTheme="majorEastAsia" w:eastAsiaTheme="majorEastAsia" w:cstheme="majorEastAsia"/>
          <w:sz w:val="28"/>
          <w:szCs w:val="28"/>
          <w:lang w:val="en-US" w:eastAsia="zh-CN"/>
        </w:rPr>
        <w:t>8094185283</w:t>
      </w:r>
    </w:p>
    <w:p w14:paraId="2A74D1B1">
      <w:pPr>
        <w:pStyle w:val="15"/>
        <w:snapToGrid w:val="0"/>
        <w:spacing w:line="500" w:lineRule="exact"/>
        <w:rPr>
          <w:rFonts w:hint="eastAsia" w:asciiTheme="majorEastAsia" w:hAnsiTheme="majorEastAsia" w:eastAsiaTheme="majorEastAsia" w:cstheme="majorEastAsia"/>
          <w:kern w:val="2"/>
          <w:sz w:val="28"/>
          <w:szCs w:val="28"/>
        </w:rPr>
      </w:pPr>
      <w:r>
        <w:rPr>
          <w:rFonts w:hint="eastAsia" w:asciiTheme="majorEastAsia" w:hAnsiTheme="majorEastAsia" w:eastAsiaTheme="majorEastAsia" w:cstheme="majorEastAsia"/>
          <w:sz w:val="28"/>
          <w:szCs w:val="28"/>
        </w:rPr>
        <w:t>联系地址：</w:t>
      </w:r>
      <w:r>
        <w:rPr>
          <w:rFonts w:hint="eastAsia" w:asciiTheme="majorEastAsia" w:hAnsiTheme="majorEastAsia" w:eastAsiaTheme="majorEastAsia" w:cstheme="majorEastAsia"/>
          <w:bCs w:val="0"/>
          <w:color w:val="auto"/>
          <w:kern w:val="2"/>
          <w:sz w:val="28"/>
          <w:szCs w:val="28"/>
          <w:highlight w:val="none"/>
          <w:lang w:val="en-US" w:eastAsia="zh-CN"/>
        </w:rPr>
        <w:t>邵武市水北镇王亭村石头组80号</w:t>
      </w:r>
    </w:p>
    <w:p w14:paraId="41F820DA">
      <w:pPr>
        <w:pStyle w:val="15"/>
        <w:snapToGrid w:val="0"/>
        <w:spacing w:line="500" w:lineRule="exact"/>
        <w:rPr>
          <w:rFonts w:asciiTheme="majorEastAsia" w:hAnsiTheme="majorEastAsia" w:eastAsiaTheme="majorEastAsia" w:cstheme="majorEastAsia"/>
          <w:sz w:val="28"/>
          <w:szCs w:val="28"/>
        </w:rPr>
      </w:pPr>
    </w:p>
    <w:p w14:paraId="1D208126">
      <w:pPr>
        <w:pStyle w:val="15"/>
        <w:snapToGrid w:val="0"/>
        <w:spacing w:line="5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受让方（承包方）：                  （以下简称乙方）</w:t>
      </w:r>
    </w:p>
    <w:p w14:paraId="25BE468D">
      <w:pPr>
        <w:pStyle w:val="15"/>
        <w:snapToGrid w:val="0"/>
        <w:spacing w:line="5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联系人：</w:t>
      </w:r>
    </w:p>
    <w:p w14:paraId="1673DA78">
      <w:pPr>
        <w:pStyle w:val="15"/>
        <w:snapToGrid w:val="0"/>
        <w:spacing w:line="5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联系电话：</w:t>
      </w:r>
    </w:p>
    <w:p w14:paraId="3FF34ECE">
      <w:pPr>
        <w:pStyle w:val="15"/>
        <w:snapToGrid w:val="0"/>
        <w:spacing w:line="500" w:lineRule="exact"/>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联系地址：</w:t>
      </w:r>
    </w:p>
    <w:p w14:paraId="5C296C2C">
      <w:pPr>
        <w:pStyle w:val="15"/>
        <w:snapToGrid w:val="0"/>
        <w:spacing w:line="500" w:lineRule="exact"/>
        <w:rPr>
          <w:rFonts w:asciiTheme="majorEastAsia" w:hAnsiTheme="majorEastAsia" w:eastAsiaTheme="majorEastAsia" w:cstheme="majorEastAsia"/>
          <w:sz w:val="28"/>
          <w:szCs w:val="28"/>
        </w:rPr>
      </w:pPr>
    </w:p>
    <w:p w14:paraId="520FBE1D">
      <w:pPr>
        <w:pStyle w:val="15"/>
        <w:snapToGrid w:val="0"/>
        <w:spacing w:line="500" w:lineRule="exact"/>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根据《中华人民共和国森林法》等林地经营权有关规定，甲乙双方按照平等、自愿、公平和诚实守信原则，经双方协商一致，就</w:t>
      </w:r>
      <w:r>
        <w:rPr>
          <w:rFonts w:hint="eastAsia" w:asciiTheme="majorEastAsia" w:hAnsiTheme="majorEastAsia" w:eastAsiaTheme="majorEastAsia" w:cstheme="majorEastAsia"/>
          <w:sz w:val="28"/>
          <w:szCs w:val="28"/>
          <w:u w:val="single"/>
        </w:rPr>
        <w:t>邵武市</w:t>
      </w:r>
      <w:r>
        <w:rPr>
          <w:rFonts w:hint="eastAsia" w:asciiTheme="majorEastAsia" w:hAnsiTheme="majorEastAsia" w:eastAsiaTheme="majorEastAsia" w:cstheme="majorEastAsia"/>
          <w:sz w:val="28"/>
          <w:szCs w:val="28"/>
          <w:u w:val="single"/>
          <w:lang w:val="en-US" w:eastAsia="zh-CN"/>
        </w:rPr>
        <w:t>水北镇王亭村溪西组新安</w:t>
      </w:r>
      <w:r>
        <w:rPr>
          <w:rFonts w:hint="eastAsia" w:asciiTheme="majorEastAsia" w:hAnsiTheme="majorEastAsia" w:eastAsiaTheme="majorEastAsia" w:cstheme="majorEastAsia"/>
          <w:sz w:val="28"/>
          <w:szCs w:val="28"/>
          <w:highlight w:val="yellow"/>
          <w:u w:val="single"/>
          <w:lang w:val="en-US" w:eastAsia="zh-CN"/>
        </w:rPr>
        <w:t>（外）</w:t>
      </w:r>
      <w:r>
        <w:rPr>
          <w:rFonts w:hint="eastAsia" w:asciiTheme="majorEastAsia" w:hAnsiTheme="majorEastAsia" w:eastAsiaTheme="majorEastAsia" w:cstheme="majorEastAsia"/>
          <w:sz w:val="28"/>
          <w:szCs w:val="28"/>
          <w:u w:val="single"/>
        </w:rPr>
        <w:t>林地使用权</w:t>
      </w:r>
      <w:r>
        <w:rPr>
          <w:rFonts w:hint="eastAsia" w:asciiTheme="majorEastAsia" w:hAnsiTheme="majorEastAsia" w:eastAsiaTheme="majorEastAsia" w:cstheme="majorEastAsia"/>
          <w:sz w:val="28"/>
          <w:szCs w:val="28"/>
        </w:rPr>
        <w:t>出让（承包）事宜订立本合同。</w:t>
      </w:r>
    </w:p>
    <w:p w14:paraId="5871446C">
      <w:pPr>
        <w:pStyle w:val="15"/>
        <w:snapToGrid w:val="0"/>
        <w:spacing w:line="500" w:lineRule="exact"/>
        <w:ind w:firstLine="56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一、标的基本情况：</w:t>
      </w:r>
    </w:p>
    <w:tbl>
      <w:tblPr>
        <w:tblStyle w:val="4"/>
        <w:tblW w:w="9598" w:type="dxa"/>
        <w:jc w:val="center"/>
        <w:tblLayout w:type="autofit"/>
        <w:tblCellMar>
          <w:top w:w="0" w:type="dxa"/>
          <w:left w:w="108" w:type="dxa"/>
          <w:bottom w:w="0" w:type="dxa"/>
          <w:right w:w="108" w:type="dxa"/>
        </w:tblCellMar>
      </w:tblPr>
      <w:tblGrid>
        <w:gridCol w:w="1248"/>
        <w:gridCol w:w="1806"/>
        <w:gridCol w:w="1000"/>
        <w:gridCol w:w="984"/>
        <w:gridCol w:w="1006"/>
        <w:gridCol w:w="1225"/>
        <w:gridCol w:w="1009"/>
        <w:gridCol w:w="1320"/>
      </w:tblGrid>
      <w:tr w14:paraId="439931BB">
        <w:tblPrEx>
          <w:tblCellMar>
            <w:top w:w="0" w:type="dxa"/>
            <w:left w:w="108" w:type="dxa"/>
            <w:bottom w:w="0" w:type="dxa"/>
            <w:right w:w="108" w:type="dxa"/>
          </w:tblCellMar>
        </w:tblPrEx>
        <w:trPr>
          <w:trHeight w:val="585" w:hRule="atLeast"/>
          <w:jc w:val="center"/>
        </w:trPr>
        <w:tc>
          <w:tcPr>
            <w:tcW w:w="1248" w:type="dxa"/>
            <w:tcBorders>
              <w:top w:val="single" w:color="000000" w:sz="8" w:space="0"/>
              <w:left w:val="single" w:color="000000" w:sz="8" w:space="0"/>
              <w:bottom w:val="single" w:color="000000" w:sz="8" w:space="0"/>
              <w:right w:val="single" w:color="000000" w:sz="8" w:space="0"/>
            </w:tcBorders>
            <w:noWrap/>
            <w:vAlign w:val="center"/>
          </w:tcPr>
          <w:p w14:paraId="0ADB7590">
            <w:pPr>
              <w:widowControl/>
              <w:jc w:val="center"/>
              <w:textAlignment w:val="center"/>
              <w:rPr>
                <w:rFonts w:ascii="宋体" w:hAnsi="宋体" w:cs="宋体"/>
                <w:color w:val="000000"/>
                <w:sz w:val="24"/>
              </w:rPr>
            </w:pPr>
            <w:r>
              <w:rPr>
                <w:rFonts w:hint="eastAsia" w:ascii="宋体" w:hAnsi="宋体" w:cs="宋体"/>
                <w:color w:val="000000"/>
                <w:kern w:val="0"/>
                <w:sz w:val="24"/>
              </w:rPr>
              <w:t>地块名称</w:t>
            </w:r>
          </w:p>
        </w:tc>
        <w:tc>
          <w:tcPr>
            <w:tcW w:w="1806" w:type="dxa"/>
            <w:tcBorders>
              <w:top w:val="single" w:color="000000" w:sz="8" w:space="0"/>
              <w:left w:val="single" w:color="000000" w:sz="8" w:space="0"/>
              <w:bottom w:val="single" w:color="000000" w:sz="8" w:space="0"/>
              <w:right w:val="single" w:color="000000" w:sz="8" w:space="0"/>
            </w:tcBorders>
            <w:noWrap/>
            <w:vAlign w:val="center"/>
          </w:tcPr>
          <w:p w14:paraId="190929CC">
            <w:pPr>
              <w:widowControl/>
              <w:jc w:val="center"/>
              <w:textAlignment w:val="center"/>
              <w:rPr>
                <w:rFonts w:ascii="宋体" w:hAnsi="宋体" w:cs="宋体"/>
                <w:color w:val="000000"/>
                <w:sz w:val="24"/>
              </w:rPr>
            </w:pPr>
            <w:r>
              <w:rPr>
                <w:rFonts w:hint="eastAsia" w:ascii="宋体" w:hAnsi="宋体" w:cs="宋体"/>
                <w:color w:val="000000"/>
                <w:kern w:val="0"/>
                <w:sz w:val="24"/>
              </w:rPr>
              <w:t>四至</w:t>
            </w:r>
          </w:p>
        </w:tc>
        <w:tc>
          <w:tcPr>
            <w:tcW w:w="1000" w:type="dxa"/>
            <w:tcBorders>
              <w:top w:val="single" w:color="000000" w:sz="8" w:space="0"/>
              <w:left w:val="single" w:color="000000" w:sz="8" w:space="0"/>
              <w:bottom w:val="single" w:color="000000" w:sz="8" w:space="0"/>
              <w:right w:val="single" w:color="000000" w:sz="8" w:space="0"/>
            </w:tcBorders>
            <w:noWrap/>
            <w:vAlign w:val="center"/>
          </w:tcPr>
          <w:p w14:paraId="639014A3">
            <w:pPr>
              <w:widowControl/>
              <w:jc w:val="center"/>
              <w:textAlignment w:val="center"/>
              <w:rPr>
                <w:rFonts w:ascii="宋体" w:hAnsi="宋体" w:cs="宋体"/>
                <w:color w:val="000000"/>
                <w:sz w:val="24"/>
              </w:rPr>
            </w:pPr>
            <w:r>
              <w:rPr>
                <w:rFonts w:hint="eastAsia" w:ascii="宋体" w:hAnsi="宋体" w:cs="宋体"/>
                <w:color w:val="000000"/>
                <w:kern w:val="0"/>
                <w:sz w:val="24"/>
              </w:rPr>
              <w:t>林班号</w:t>
            </w:r>
          </w:p>
        </w:tc>
        <w:tc>
          <w:tcPr>
            <w:tcW w:w="984" w:type="dxa"/>
            <w:tcBorders>
              <w:top w:val="single" w:color="000000" w:sz="8" w:space="0"/>
              <w:left w:val="single" w:color="000000" w:sz="8" w:space="0"/>
              <w:bottom w:val="single" w:color="000000" w:sz="8" w:space="0"/>
              <w:right w:val="single" w:color="000000" w:sz="8" w:space="0"/>
            </w:tcBorders>
            <w:noWrap/>
            <w:vAlign w:val="center"/>
          </w:tcPr>
          <w:p w14:paraId="2CC15E05">
            <w:pPr>
              <w:widowControl/>
              <w:jc w:val="center"/>
              <w:textAlignment w:val="center"/>
              <w:rPr>
                <w:rFonts w:ascii="宋体" w:hAnsi="宋体" w:cs="宋体"/>
                <w:color w:val="000000"/>
                <w:sz w:val="24"/>
              </w:rPr>
            </w:pPr>
            <w:r>
              <w:rPr>
                <w:rFonts w:hint="eastAsia" w:ascii="宋体" w:hAnsi="宋体" w:cs="宋体"/>
                <w:color w:val="000000"/>
                <w:kern w:val="0"/>
                <w:sz w:val="24"/>
              </w:rPr>
              <w:t>大班号</w:t>
            </w:r>
          </w:p>
        </w:tc>
        <w:tc>
          <w:tcPr>
            <w:tcW w:w="1006" w:type="dxa"/>
            <w:tcBorders>
              <w:top w:val="single" w:color="000000" w:sz="8" w:space="0"/>
              <w:left w:val="single" w:color="000000" w:sz="8" w:space="0"/>
              <w:bottom w:val="single" w:color="000000" w:sz="8" w:space="0"/>
              <w:right w:val="single" w:color="000000" w:sz="8" w:space="0"/>
            </w:tcBorders>
            <w:noWrap/>
            <w:vAlign w:val="center"/>
          </w:tcPr>
          <w:p w14:paraId="21E9940C">
            <w:pPr>
              <w:widowControl/>
              <w:jc w:val="center"/>
              <w:textAlignment w:val="center"/>
              <w:rPr>
                <w:rFonts w:ascii="宋体" w:hAnsi="宋体" w:cs="宋体"/>
                <w:color w:val="000000"/>
                <w:sz w:val="24"/>
              </w:rPr>
            </w:pPr>
            <w:r>
              <w:rPr>
                <w:rFonts w:hint="eastAsia" w:ascii="宋体" w:hAnsi="宋体" w:cs="宋体"/>
                <w:color w:val="000000"/>
                <w:kern w:val="0"/>
                <w:sz w:val="24"/>
              </w:rPr>
              <w:t>小班号</w:t>
            </w:r>
          </w:p>
        </w:tc>
        <w:tc>
          <w:tcPr>
            <w:tcW w:w="1225" w:type="dxa"/>
            <w:tcBorders>
              <w:top w:val="single" w:color="000000" w:sz="8" w:space="0"/>
              <w:left w:val="single" w:color="000000" w:sz="8" w:space="0"/>
              <w:bottom w:val="single" w:color="000000" w:sz="8" w:space="0"/>
              <w:right w:val="single" w:color="000000" w:sz="8" w:space="0"/>
            </w:tcBorders>
            <w:noWrap/>
            <w:vAlign w:val="center"/>
          </w:tcPr>
          <w:p w14:paraId="5D91F6FF">
            <w:pPr>
              <w:widowControl/>
              <w:jc w:val="center"/>
              <w:textAlignment w:val="center"/>
              <w:rPr>
                <w:rFonts w:ascii="宋体" w:hAnsi="宋体" w:cs="宋体"/>
                <w:color w:val="000000"/>
                <w:sz w:val="24"/>
              </w:rPr>
            </w:pPr>
            <w:r>
              <w:rPr>
                <w:rFonts w:hint="eastAsia" w:ascii="宋体" w:hAnsi="宋体" w:cs="宋体"/>
                <w:color w:val="000000"/>
                <w:kern w:val="0"/>
                <w:sz w:val="24"/>
              </w:rPr>
              <w:t>林地面积（亩）</w:t>
            </w:r>
          </w:p>
        </w:tc>
        <w:tc>
          <w:tcPr>
            <w:tcW w:w="1009" w:type="dxa"/>
            <w:tcBorders>
              <w:top w:val="single" w:color="000000" w:sz="8" w:space="0"/>
              <w:left w:val="single" w:color="000000" w:sz="8" w:space="0"/>
              <w:bottom w:val="single" w:color="000000" w:sz="8" w:space="0"/>
              <w:right w:val="single" w:color="000000" w:sz="8" w:space="0"/>
            </w:tcBorders>
            <w:noWrap/>
            <w:vAlign w:val="center"/>
          </w:tcPr>
          <w:p w14:paraId="3A0A0BAD">
            <w:pPr>
              <w:widowControl/>
              <w:jc w:val="center"/>
              <w:textAlignment w:val="center"/>
              <w:rPr>
                <w:rFonts w:ascii="宋体" w:hAnsi="宋体" w:cs="宋体"/>
                <w:color w:val="000000"/>
                <w:sz w:val="24"/>
              </w:rPr>
            </w:pPr>
            <w:r>
              <w:rPr>
                <w:rFonts w:hint="eastAsia" w:ascii="宋体" w:hAnsi="宋体" w:cs="宋体"/>
                <w:color w:val="000000"/>
                <w:kern w:val="0"/>
                <w:sz w:val="24"/>
              </w:rPr>
              <w:t>本次出让面积（亩）</w:t>
            </w:r>
          </w:p>
        </w:tc>
        <w:tc>
          <w:tcPr>
            <w:tcW w:w="1320" w:type="dxa"/>
            <w:tcBorders>
              <w:top w:val="single" w:color="000000" w:sz="8" w:space="0"/>
              <w:left w:val="single" w:color="000000" w:sz="8" w:space="0"/>
              <w:bottom w:val="single" w:color="000000" w:sz="8" w:space="0"/>
              <w:right w:val="single" w:color="000000" w:sz="8" w:space="0"/>
            </w:tcBorders>
            <w:noWrap/>
            <w:vAlign w:val="center"/>
          </w:tcPr>
          <w:p w14:paraId="022A70FE">
            <w:pPr>
              <w:widowControl/>
              <w:jc w:val="center"/>
              <w:textAlignment w:val="center"/>
              <w:rPr>
                <w:rFonts w:ascii="宋体" w:hAnsi="宋体" w:cs="宋体"/>
                <w:color w:val="000000"/>
                <w:sz w:val="24"/>
              </w:rPr>
            </w:pPr>
            <w:r>
              <w:rPr>
                <w:rFonts w:hint="eastAsia" w:ascii="宋体" w:hAnsi="宋体" w:cs="宋体"/>
                <w:color w:val="000000"/>
                <w:kern w:val="0"/>
                <w:sz w:val="24"/>
              </w:rPr>
              <w:t>交易价款（元）</w:t>
            </w:r>
          </w:p>
        </w:tc>
      </w:tr>
      <w:tr w14:paraId="57D3FD27">
        <w:tblPrEx>
          <w:tblCellMar>
            <w:top w:w="0" w:type="dxa"/>
            <w:left w:w="108" w:type="dxa"/>
            <w:bottom w:w="0" w:type="dxa"/>
            <w:right w:w="108" w:type="dxa"/>
          </w:tblCellMar>
        </w:tblPrEx>
        <w:trPr>
          <w:trHeight w:val="1155" w:hRule="atLeast"/>
          <w:jc w:val="center"/>
        </w:trPr>
        <w:tc>
          <w:tcPr>
            <w:tcW w:w="1248" w:type="dxa"/>
            <w:tcBorders>
              <w:top w:val="single" w:color="000000" w:sz="8" w:space="0"/>
              <w:left w:val="single" w:color="000000" w:sz="8" w:space="0"/>
              <w:bottom w:val="single" w:color="000000" w:sz="8" w:space="0"/>
              <w:right w:val="single" w:color="000000" w:sz="8" w:space="0"/>
            </w:tcBorders>
            <w:noWrap/>
            <w:vAlign w:val="center"/>
          </w:tcPr>
          <w:p w14:paraId="375B3EA2">
            <w:pPr>
              <w:snapToGrid w:val="0"/>
              <w:spacing w:line="400" w:lineRule="exact"/>
              <w:jc w:val="center"/>
              <w:textAlignment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溪西组新安</w:t>
            </w:r>
            <w:r>
              <w:rPr>
                <w:rFonts w:hint="eastAsia" w:ascii="宋体" w:hAnsi="宋体" w:cs="宋体"/>
                <w:color w:val="000000"/>
                <w:sz w:val="18"/>
                <w:szCs w:val="18"/>
                <w:highlight w:val="yellow"/>
                <w:lang w:eastAsia="zh-CN"/>
              </w:rPr>
              <w:t>（外）</w:t>
            </w:r>
          </w:p>
        </w:tc>
        <w:tc>
          <w:tcPr>
            <w:tcW w:w="1806" w:type="dxa"/>
            <w:tcBorders>
              <w:top w:val="single" w:color="000000" w:sz="8" w:space="0"/>
              <w:left w:val="single" w:color="000000" w:sz="8" w:space="0"/>
              <w:bottom w:val="single" w:color="000000" w:sz="8" w:space="0"/>
              <w:right w:val="single" w:color="000000" w:sz="8" w:space="0"/>
            </w:tcBorders>
            <w:noWrap/>
            <w:vAlign w:val="center"/>
          </w:tcPr>
          <w:p w14:paraId="0C0BA422">
            <w:pPr>
              <w:snapToGrid w:val="0"/>
              <w:spacing w:line="420" w:lineRule="exact"/>
              <w:jc w:val="left"/>
              <w:textAlignment w:val="center"/>
              <w:rPr>
                <w:rFonts w:ascii="宋体" w:hAnsi="宋体" w:cs="宋体"/>
                <w:color w:val="000000"/>
                <w:sz w:val="18"/>
                <w:szCs w:val="18"/>
              </w:rPr>
            </w:pPr>
            <w:r>
              <w:rPr>
                <w:rFonts w:hint="eastAsia" w:ascii="宋体" w:hAnsi="宋体" w:eastAsia="宋体" w:cs="宋体"/>
                <w:bCs w:val="0"/>
                <w:i w:val="0"/>
                <w:iCs w:val="0"/>
                <w:color w:val="auto"/>
                <w:kern w:val="0"/>
                <w:sz w:val="18"/>
                <w:szCs w:val="18"/>
                <w:highlight w:val="none"/>
                <w:u w:val="none"/>
                <w:lang w:val="en-US" w:eastAsia="zh-CN" w:bidi="ar"/>
              </w:rPr>
              <w:t>东：</w:t>
            </w:r>
            <w:r>
              <w:rPr>
                <w:rFonts w:hint="eastAsia" w:ascii="宋体" w:hAnsi="宋体" w:cs="宋体"/>
                <w:bCs w:val="0"/>
                <w:i w:val="0"/>
                <w:iCs w:val="0"/>
                <w:color w:val="auto"/>
                <w:kern w:val="0"/>
                <w:sz w:val="18"/>
                <w:szCs w:val="18"/>
                <w:highlight w:val="none"/>
                <w:u w:val="none"/>
                <w:lang w:val="en-US" w:eastAsia="zh-CN" w:bidi="ar"/>
              </w:rPr>
              <w:t xml:space="preserve">221-02-032小班 </w:t>
            </w:r>
            <w:r>
              <w:rPr>
                <w:rFonts w:hint="eastAsia" w:ascii="宋体" w:hAnsi="宋体" w:eastAsia="宋体" w:cs="宋体"/>
                <w:bCs w:val="0"/>
                <w:i w:val="0"/>
                <w:iCs w:val="0"/>
                <w:color w:val="auto"/>
                <w:kern w:val="0"/>
                <w:sz w:val="18"/>
                <w:szCs w:val="18"/>
                <w:highlight w:val="none"/>
                <w:u w:val="none"/>
                <w:lang w:val="en-US" w:eastAsia="zh-CN" w:bidi="ar"/>
              </w:rPr>
              <w:t>；南：</w:t>
            </w:r>
            <w:r>
              <w:rPr>
                <w:rFonts w:hint="eastAsia" w:ascii="宋体" w:hAnsi="宋体" w:cs="宋体"/>
                <w:bCs w:val="0"/>
                <w:i w:val="0"/>
                <w:iCs w:val="0"/>
                <w:color w:val="auto"/>
                <w:kern w:val="0"/>
                <w:sz w:val="18"/>
                <w:szCs w:val="18"/>
                <w:highlight w:val="none"/>
                <w:u w:val="none"/>
                <w:lang w:val="en-US" w:eastAsia="zh-CN" w:bidi="ar"/>
              </w:rPr>
              <w:t>222-02-030</w:t>
            </w:r>
            <w:r>
              <w:rPr>
                <w:rFonts w:hint="eastAsia" w:ascii="宋体" w:hAnsi="宋体" w:eastAsia="宋体" w:cs="宋体"/>
                <w:bCs w:val="0"/>
                <w:i w:val="0"/>
                <w:iCs w:val="0"/>
                <w:color w:val="auto"/>
                <w:kern w:val="0"/>
                <w:sz w:val="18"/>
                <w:szCs w:val="18"/>
                <w:highlight w:val="none"/>
                <w:u w:val="none"/>
                <w:lang w:val="en-US" w:eastAsia="zh-CN" w:bidi="ar"/>
              </w:rPr>
              <w:t>小班；西：</w:t>
            </w:r>
            <w:r>
              <w:rPr>
                <w:rFonts w:hint="eastAsia" w:ascii="宋体" w:hAnsi="宋体" w:cs="宋体"/>
                <w:bCs w:val="0"/>
                <w:i w:val="0"/>
                <w:iCs w:val="0"/>
                <w:color w:val="auto"/>
                <w:kern w:val="0"/>
                <w:sz w:val="18"/>
                <w:szCs w:val="18"/>
                <w:highlight w:val="none"/>
                <w:u w:val="none"/>
                <w:lang w:val="en-US" w:eastAsia="zh-CN" w:bidi="ar"/>
              </w:rPr>
              <w:t>221-20-020</w:t>
            </w:r>
            <w:r>
              <w:rPr>
                <w:rFonts w:hint="eastAsia" w:ascii="宋体" w:hAnsi="宋体" w:eastAsia="宋体" w:cs="宋体"/>
                <w:bCs w:val="0"/>
                <w:i w:val="0"/>
                <w:iCs w:val="0"/>
                <w:color w:val="auto"/>
                <w:kern w:val="0"/>
                <w:sz w:val="18"/>
                <w:szCs w:val="18"/>
                <w:highlight w:val="none"/>
                <w:u w:val="none"/>
                <w:lang w:val="en-US" w:eastAsia="zh-CN" w:bidi="ar"/>
              </w:rPr>
              <w:t>小班；北：</w:t>
            </w:r>
            <w:r>
              <w:rPr>
                <w:rFonts w:hint="eastAsia" w:ascii="宋体" w:hAnsi="宋体" w:cs="宋体"/>
                <w:bCs w:val="0"/>
                <w:i w:val="0"/>
                <w:iCs w:val="0"/>
                <w:color w:val="auto"/>
                <w:kern w:val="0"/>
                <w:sz w:val="18"/>
                <w:szCs w:val="18"/>
                <w:highlight w:val="none"/>
                <w:u w:val="none"/>
                <w:lang w:val="en-US" w:eastAsia="zh-CN" w:bidi="ar"/>
              </w:rPr>
              <w:t>田</w:t>
            </w:r>
          </w:p>
        </w:tc>
        <w:tc>
          <w:tcPr>
            <w:tcW w:w="1000" w:type="dxa"/>
            <w:tcBorders>
              <w:top w:val="single" w:color="000000" w:sz="8" w:space="0"/>
              <w:left w:val="single" w:color="000000" w:sz="8" w:space="0"/>
              <w:bottom w:val="single" w:color="000000" w:sz="8" w:space="0"/>
              <w:right w:val="single" w:color="000000" w:sz="8" w:space="0"/>
            </w:tcBorders>
            <w:noWrap/>
            <w:vAlign w:val="center"/>
          </w:tcPr>
          <w:p w14:paraId="53C7501F">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221</w:t>
            </w:r>
          </w:p>
        </w:tc>
        <w:tc>
          <w:tcPr>
            <w:tcW w:w="984" w:type="dxa"/>
            <w:tcBorders>
              <w:top w:val="single" w:color="000000" w:sz="8" w:space="0"/>
              <w:left w:val="single" w:color="000000" w:sz="8" w:space="0"/>
              <w:bottom w:val="single" w:color="000000" w:sz="8" w:space="0"/>
              <w:right w:val="single" w:color="000000" w:sz="8" w:space="0"/>
            </w:tcBorders>
            <w:noWrap/>
            <w:vAlign w:val="center"/>
          </w:tcPr>
          <w:p w14:paraId="5C00C8A9">
            <w:pPr>
              <w:widowControl/>
              <w:jc w:val="center"/>
              <w:textAlignment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lang w:val="en-US" w:eastAsia="zh-CN"/>
              </w:rPr>
              <w:t>20</w:t>
            </w:r>
          </w:p>
        </w:tc>
        <w:tc>
          <w:tcPr>
            <w:tcW w:w="1006" w:type="dxa"/>
            <w:tcBorders>
              <w:top w:val="single" w:color="000000" w:sz="8" w:space="0"/>
              <w:left w:val="single" w:color="000000" w:sz="8" w:space="0"/>
              <w:bottom w:val="single" w:color="000000" w:sz="8" w:space="0"/>
              <w:right w:val="single" w:color="000000" w:sz="8" w:space="0"/>
            </w:tcBorders>
            <w:noWrap/>
            <w:vAlign w:val="center"/>
          </w:tcPr>
          <w:p w14:paraId="77AE9A55">
            <w:pPr>
              <w:widowControl/>
              <w:jc w:val="both"/>
              <w:textAlignment w:val="center"/>
              <w:rPr>
                <w:rFonts w:hint="eastAsia" w:ascii="宋体" w:hAnsi="宋体" w:cs="宋体"/>
                <w:color w:val="000000"/>
                <w:sz w:val="18"/>
                <w:szCs w:val="18"/>
              </w:rPr>
            </w:pPr>
          </w:p>
          <w:p w14:paraId="5AF74D78">
            <w:pPr>
              <w:widowControl/>
              <w:jc w:val="center"/>
              <w:textAlignment w:val="center"/>
              <w:rPr>
                <w:rFonts w:hint="default" w:ascii="宋体" w:hAnsi="宋体" w:cs="宋体"/>
                <w:color w:val="000000"/>
                <w:sz w:val="18"/>
                <w:szCs w:val="18"/>
                <w:lang w:val="en-US" w:eastAsia="zh-CN"/>
              </w:rPr>
            </w:pPr>
            <w:r>
              <w:rPr>
                <w:rFonts w:hint="eastAsia" w:ascii="宋体" w:hAnsi="宋体" w:cs="宋体"/>
                <w:color w:val="000000"/>
                <w:sz w:val="18"/>
                <w:szCs w:val="18"/>
                <w:lang w:val="en-US" w:eastAsia="zh-CN"/>
              </w:rPr>
              <w:t>030(1)</w:t>
            </w:r>
          </w:p>
          <w:p w14:paraId="08684C5B">
            <w:pPr>
              <w:widowControl/>
              <w:jc w:val="both"/>
              <w:textAlignment w:val="center"/>
              <w:rPr>
                <w:rFonts w:hint="default" w:ascii="宋体" w:hAnsi="宋体" w:cs="宋体"/>
                <w:color w:val="000000"/>
                <w:sz w:val="18"/>
                <w:szCs w:val="18"/>
                <w:lang w:val="en-US" w:eastAsia="zh-CN"/>
              </w:rPr>
            </w:pPr>
          </w:p>
        </w:tc>
        <w:tc>
          <w:tcPr>
            <w:tcW w:w="1225" w:type="dxa"/>
            <w:tcBorders>
              <w:top w:val="single" w:color="000000" w:sz="8" w:space="0"/>
              <w:left w:val="single" w:color="000000" w:sz="8" w:space="0"/>
              <w:bottom w:val="single" w:color="000000" w:sz="8" w:space="0"/>
              <w:right w:val="single" w:color="000000" w:sz="8" w:space="0"/>
            </w:tcBorders>
            <w:noWrap/>
            <w:vAlign w:val="center"/>
          </w:tcPr>
          <w:p w14:paraId="4B3592CA">
            <w:pPr>
              <w:widowControl/>
              <w:jc w:val="both"/>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178.5</w:t>
            </w:r>
          </w:p>
        </w:tc>
        <w:tc>
          <w:tcPr>
            <w:tcW w:w="1009" w:type="dxa"/>
            <w:tcBorders>
              <w:top w:val="single" w:color="000000" w:sz="8" w:space="0"/>
              <w:left w:val="single" w:color="000000" w:sz="8" w:space="0"/>
              <w:bottom w:val="single" w:color="000000" w:sz="8" w:space="0"/>
              <w:right w:val="single" w:color="000000" w:sz="8" w:space="0"/>
            </w:tcBorders>
            <w:noWrap/>
            <w:vAlign w:val="center"/>
          </w:tcPr>
          <w:p w14:paraId="0670CD25">
            <w:pPr>
              <w:widowControl/>
              <w:jc w:val="center"/>
              <w:textAlignment w:val="center"/>
              <w:rPr>
                <w:rFonts w:hint="default" w:ascii="宋体" w:hAnsi="宋体" w:eastAsia="宋体" w:cs="宋体"/>
                <w:color w:val="000000"/>
                <w:sz w:val="18"/>
                <w:szCs w:val="18"/>
                <w:lang w:val="en-US" w:eastAsia="zh-CN"/>
              </w:rPr>
            </w:pPr>
            <w:r>
              <w:rPr>
                <w:rFonts w:hint="eastAsia" w:ascii="宋体" w:hAnsi="宋体" w:cs="宋体"/>
                <w:color w:val="000000"/>
                <w:sz w:val="18"/>
                <w:szCs w:val="18"/>
                <w:lang w:val="en-US" w:eastAsia="zh-CN"/>
              </w:rPr>
              <w:t>178.5</w:t>
            </w:r>
          </w:p>
        </w:tc>
        <w:tc>
          <w:tcPr>
            <w:tcW w:w="1320" w:type="dxa"/>
            <w:tcBorders>
              <w:top w:val="single" w:color="000000" w:sz="8" w:space="0"/>
              <w:left w:val="single" w:color="000000" w:sz="8" w:space="0"/>
              <w:bottom w:val="single" w:color="000000" w:sz="8" w:space="0"/>
              <w:right w:val="single" w:color="000000" w:sz="8" w:space="0"/>
            </w:tcBorders>
            <w:noWrap/>
            <w:vAlign w:val="center"/>
          </w:tcPr>
          <w:p w14:paraId="1DE592CA">
            <w:pPr>
              <w:widowControl/>
              <w:jc w:val="both"/>
              <w:textAlignment w:val="center"/>
              <w:rPr>
                <w:rFonts w:ascii="宋体" w:hAnsi="宋体" w:cs="宋体"/>
                <w:color w:val="000000"/>
                <w:sz w:val="18"/>
                <w:szCs w:val="18"/>
              </w:rPr>
            </w:pPr>
          </w:p>
        </w:tc>
      </w:tr>
    </w:tbl>
    <w:p w14:paraId="29412746">
      <w:pPr>
        <w:snapToGrid w:val="0"/>
        <w:spacing w:line="5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现状提示：本次出让地块总面积为</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u w:val="single"/>
          <w:lang w:val="en-US" w:eastAsia="zh-CN"/>
        </w:rPr>
        <w:t>178.5</w:t>
      </w:r>
      <w:r>
        <w:rPr>
          <w:rFonts w:hint="eastAsia" w:asciiTheme="majorEastAsia" w:hAnsiTheme="majorEastAsia" w:eastAsiaTheme="majorEastAsia" w:cstheme="majorEastAsia"/>
          <w:sz w:val="28"/>
          <w:szCs w:val="28"/>
          <w:u w:val="single"/>
        </w:rPr>
        <w:t xml:space="preserve"> </w:t>
      </w:r>
      <w:r>
        <w:rPr>
          <w:rFonts w:hint="eastAsia" w:asciiTheme="majorEastAsia" w:hAnsiTheme="majorEastAsia" w:eastAsiaTheme="majorEastAsia" w:cstheme="majorEastAsia"/>
          <w:sz w:val="28"/>
          <w:szCs w:val="28"/>
        </w:rPr>
        <w:t>亩，若实测面积不足或超过，成交价不予调整。</w:t>
      </w:r>
    </w:p>
    <w:p w14:paraId="61C9B4D1">
      <w:pPr>
        <w:snapToGrid w:val="0"/>
        <w:spacing w:line="5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二、本合同签订之日起五个工作日内乙方须一次性支付全额上述交易价款至福建省产权交易中心指定账户（账户名称：福建省产权交易中心；账号：</w:t>
      </w:r>
      <w:r>
        <w:rPr>
          <w:rFonts w:hint="eastAsia" w:ascii="宋体" w:hAnsi="宋体" w:cs="宋体"/>
          <w:sz w:val="28"/>
          <w:szCs w:val="28"/>
        </w:rPr>
        <w:t>9010 2120 3001 0000 0551 27</w:t>
      </w:r>
      <w:r>
        <w:rPr>
          <w:rFonts w:hint="eastAsia" w:asciiTheme="majorEastAsia" w:hAnsiTheme="majorEastAsia" w:eastAsiaTheme="majorEastAsia" w:cstheme="majorEastAsia"/>
          <w:sz w:val="28"/>
          <w:szCs w:val="28"/>
        </w:rPr>
        <w:t>；开户行：</w:t>
      </w:r>
      <w:r>
        <w:rPr>
          <w:rFonts w:hint="eastAsia" w:ascii="宋体" w:hAnsi="宋体" w:cs="宋体"/>
          <w:sz w:val="28"/>
          <w:szCs w:val="28"/>
        </w:rPr>
        <w:t>福州农商银行股份有限公司鼓楼支行</w:t>
      </w:r>
      <w:r>
        <w:rPr>
          <w:rFonts w:hint="eastAsia" w:asciiTheme="majorEastAsia" w:hAnsiTheme="majorEastAsia" w:eastAsiaTheme="majorEastAsia" w:cstheme="majorEastAsia"/>
          <w:sz w:val="28"/>
          <w:szCs w:val="28"/>
        </w:rPr>
        <w:t>）。乙方前期缴纳至福建省产权交易中心的竞价保证金人民币</w:t>
      </w:r>
      <w:r>
        <w:rPr>
          <w:rFonts w:hint="eastAsia" w:asciiTheme="majorEastAsia" w:hAnsiTheme="majorEastAsia" w:eastAsiaTheme="majorEastAsia" w:cstheme="majorEastAsia"/>
          <w:sz w:val="28"/>
          <w:szCs w:val="28"/>
          <w:lang w:val="en-US" w:eastAsia="zh-CN"/>
        </w:rPr>
        <w:t>10</w:t>
      </w:r>
      <w:r>
        <w:rPr>
          <w:rFonts w:hint="eastAsia" w:asciiTheme="majorEastAsia" w:hAnsiTheme="majorEastAsia" w:eastAsiaTheme="majorEastAsia" w:cstheme="majorEastAsia"/>
          <w:sz w:val="28"/>
          <w:szCs w:val="28"/>
          <w:u w:val="single"/>
        </w:rPr>
        <w:t xml:space="preserve">000 </w:t>
      </w:r>
      <w:r>
        <w:rPr>
          <w:rFonts w:hint="eastAsia" w:asciiTheme="majorEastAsia" w:hAnsiTheme="majorEastAsia" w:eastAsiaTheme="majorEastAsia" w:cstheme="majorEastAsia"/>
          <w:sz w:val="28"/>
          <w:szCs w:val="28"/>
        </w:rPr>
        <w:t>元，扣除乙方应支付的交易服务费后的余额在乙方未违约的情况下可等额无息转为本合同交易价款。</w:t>
      </w:r>
    </w:p>
    <w:p w14:paraId="04D14024">
      <w:pPr>
        <w:snapToGrid w:val="0"/>
        <w:spacing w:line="500" w:lineRule="exact"/>
        <w:ind w:firstLine="560" w:firstLineChars="200"/>
        <w:rPr>
          <w:rFonts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三、福建省产权交易中心在收到甲、乙双方共同签订的《关于划转农村产权流转交易价款的函》原件次日起3个工作日内将全额交易价款划转至甲方账户（</w:t>
      </w:r>
      <w:r>
        <w:rPr>
          <w:rFonts w:hint="eastAsia" w:asciiTheme="majorEastAsia" w:hAnsiTheme="majorEastAsia" w:eastAsiaTheme="majorEastAsia" w:cstheme="majorEastAsia"/>
          <w:sz w:val="28"/>
          <w:szCs w:val="28"/>
          <w:u w:val="single"/>
        </w:rPr>
        <w:t>账户全称：邵武市水北镇村级会计核算中心，账号：9050312010010000002581；开户银行：福建邵武农村商业银行股份有限公司</w:t>
      </w:r>
      <w:r>
        <w:rPr>
          <w:rFonts w:hint="eastAsia" w:asciiTheme="majorEastAsia" w:hAnsiTheme="majorEastAsia" w:eastAsiaTheme="majorEastAsia" w:cstheme="majorEastAsia"/>
          <w:sz w:val="28"/>
          <w:szCs w:val="28"/>
          <w:u w:val="single"/>
          <w:lang w:val="en-US" w:eastAsia="zh-CN"/>
        </w:rPr>
        <w:t>水北</w:t>
      </w:r>
      <w:r>
        <w:rPr>
          <w:rFonts w:hint="eastAsia" w:asciiTheme="majorEastAsia" w:hAnsiTheme="majorEastAsia" w:eastAsiaTheme="majorEastAsia" w:cstheme="majorEastAsia"/>
          <w:sz w:val="28"/>
          <w:szCs w:val="28"/>
          <w:u w:val="single"/>
        </w:rPr>
        <w:t xml:space="preserve">支行 </w:t>
      </w:r>
      <w:r>
        <w:rPr>
          <w:rFonts w:hint="eastAsia" w:asciiTheme="majorEastAsia" w:hAnsiTheme="majorEastAsia" w:eastAsiaTheme="majorEastAsia" w:cstheme="majorEastAsia"/>
          <w:sz w:val="28"/>
          <w:szCs w:val="28"/>
        </w:rPr>
        <w:t>）。</w:t>
      </w:r>
    </w:p>
    <w:p w14:paraId="0A20B617">
      <w:pPr>
        <w:snapToGrid w:val="0"/>
        <w:spacing w:line="500" w:lineRule="exact"/>
        <w:ind w:firstLine="560" w:firstLineChars="200"/>
        <w:rPr>
          <w:rFonts w:asciiTheme="majorEastAsia" w:hAnsiTheme="majorEastAsia" w:eastAsiaTheme="majorEastAsia" w:cstheme="majorEastAsia"/>
          <w:bCs/>
          <w:color w:val="000000"/>
          <w:sz w:val="28"/>
          <w:szCs w:val="28"/>
        </w:rPr>
      </w:pPr>
      <w:r>
        <w:rPr>
          <w:rFonts w:hint="eastAsia" w:asciiTheme="majorEastAsia" w:hAnsiTheme="majorEastAsia" w:eastAsiaTheme="majorEastAsia" w:cstheme="majorEastAsia"/>
          <w:sz w:val="28"/>
          <w:szCs w:val="28"/>
        </w:rPr>
        <w:t>四、乙方</w:t>
      </w:r>
      <w:r>
        <w:rPr>
          <w:rFonts w:hint="eastAsia" w:asciiTheme="majorEastAsia" w:hAnsiTheme="majorEastAsia" w:eastAsiaTheme="majorEastAsia" w:cstheme="majorEastAsia"/>
          <w:color w:val="000000"/>
          <w:sz w:val="28"/>
          <w:szCs w:val="28"/>
        </w:rPr>
        <w:t>应遵守国家法律、法规，不得用于国家法律、法规不允许的用途。若乙方用于植树造林</w:t>
      </w:r>
      <w:r>
        <w:rPr>
          <w:rFonts w:hint="eastAsia" w:asciiTheme="majorEastAsia" w:hAnsiTheme="majorEastAsia" w:eastAsiaTheme="majorEastAsia" w:cstheme="majorEastAsia"/>
          <w:sz w:val="28"/>
          <w:szCs w:val="28"/>
        </w:rPr>
        <w:t>须采伐林地上的林木资源须自行办证，若乙方用于其他用途应</w:t>
      </w:r>
      <w:r>
        <w:rPr>
          <w:rFonts w:hint="eastAsia" w:asciiTheme="majorEastAsia" w:hAnsiTheme="majorEastAsia" w:eastAsiaTheme="majorEastAsia" w:cstheme="majorEastAsia"/>
          <w:bCs/>
          <w:color w:val="000000"/>
          <w:sz w:val="28"/>
          <w:szCs w:val="28"/>
        </w:rPr>
        <w:t>自行向相关部门申请办理与自身使用有关的所有审批手续并自行承担不能审批的风险和一切损失。</w:t>
      </w:r>
    </w:p>
    <w:p w14:paraId="329254DA">
      <w:pPr>
        <w:snapToGrid w:val="0"/>
        <w:spacing w:line="500" w:lineRule="exact"/>
        <w:ind w:firstLine="560" w:firstLineChars="200"/>
        <w:rPr>
          <w:rFonts w:asciiTheme="majorEastAsia" w:hAnsiTheme="majorEastAsia" w:eastAsiaTheme="majorEastAsia" w:cstheme="majorEastAsia"/>
          <w:bCs/>
          <w:color w:val="FF0000"/>
          <w:sz w:val="28"/>
          <w:szCs w:val="28"/>
        </w:rPr>
      </w:pPr>
      <w:r>
        <w:rPr>
          <w:rFonts w:hint="eastAsia" w:asciiTheme="majorEastAsia" w:hAnsiTheme="majorEastAsia" w:eastAsiaTheme="majorEastAsia" w:cstheme="majorEastAsia"/>
          <w:bCs/>
          <w:color w:val="000000"/>
          <w:sz w:val="28"/>
          <w:szCs w:val="28"/>
        </w:rPr>
        <w:t>五、</w:t>
      </w:r>
      <w:r>
        <w:rPr>
          <w:rFonts w:hint="eastAsia" w:asciiTheme="majorEastAsia" w:hAnsiTheme="majorEastAsia" w:eastAsiaTheme="majorEastAsia" w:cstheme="majorEastAsia"/>
          <w:sz w:val="28"/>
          <w:szCs w:val="28"/>
        </w:rPr>
        <w:t xml:space="preserve">林地使用年限为本合同签订之日起算 </w:t>
      </w:r>
      <w:r>
        <w:rPr>
          <w:rFonts w:hint="eastAsia" w:asciiTheme="majorEastAsia" w:hAnsiTheme="majorEastAsia" w:eastAsiaTheme="majorEastAsia" w:cstheme="majorEastAsia"/>
          <w:sz w:val="28"/>
          <w:szCs w:val="28"/>
          <w:highlight w:val="yellow"/>
          <w:u w:val="single"/>
          <w:lang w:val="en-US" w:eastAsia="zh-CN"/>
        </w:rPr>
        <w:t>30</w:t>
      </w:r>
      <w:r>
        <w:rPr>
          <w:rFonts w:hint="eastAsia" w:asciiTheme="majorEastAsia" w:hAnsiTheme="majorEastAsia" w:eastAsiaTheme="majorEastAsia" w:cstheme="majorEastAsia"/>
          <w:sz w:val="28"/>
          <w:szCs w:val="28"/>
          <w:u w:val="single"/>
        </w:rPr>
        <w:t>年（即    年   月   日起至     年     月   日止）</w:t>
      </w:r>
      <w:r>
        <w:rPr>
          <w:rFonts w:hint="eastAsia" w:asciiTheme="majorEastAsia" w:hAnsiTheme="majorEastAsia" w:eastAsiaTheme="majorEastAsia" w:cstheme="majorEastAsia"/>
          <w:sz w:val="28"/>
          <w:szCs w:val="28"/>
        </w:rPr>
        <w:t>。</w:t>
      </w:r>
    </w:p>
    <w:p w14:paraId="65BFFC0E">
      <w:pPr>
        <w:ind w:firstLine="560" w:firstLineChars="200"/>
        <w:rPr>
          <w:rFonts w:hint="eastAsia"/>
          <w:sz w:val="28"/>
          <w:szCs w:val="28"/>
          <w:u w:val="none"/>
        </w:rPr>
      </w:pPr>
      <w:r>
        <w:rPr>
          <w:rFonts w:hint="eastAsia" w:asciiTheme="majorEastAsia" w:hAnsiTheme="majorEastAsia" w:eastAsiaTheme="majorEastAsia" w:cstheme="majorEastAsia"/>
          <w:color w:val="000000"/>
          <w:sz w:val="28"/>
          <w:szCs w:val="28"/>
        </w:rPr>
        <w:t>六</w:t>
      </w:r>
      <w:r>
        <w:rPr>
          <w:rFonts w:asciiTheme="majorEastAsia" w:hAnsiTheme="majorEastAsia" w:eastAsiaTheme="majorEastAsia" w:cstheme="majorEastAsia"/>
          <w:color w:val="000000"/>
          <w:sz w:val="28"/>
          <w:szCs w:val="28"/>
        </w:rPr>
        <w:t>、</w:t>
      </w:r>
      <w:r>
        <w:rPr>
          <w:rFonts w:hint="eastAsia" w:asciiTheme="majorEastAsia" w:hAnsiTheme="majorEastAsia" w:eastAsiaTheme="majorEastAsia" w:cstheme="majorEastAsia"/>
          <w:sz w:val="28"/>
          <w:szCs w:val="28"/>
        </w:rPr>
        <w:t>签订合同后，林地的做工风险、责任、费用及损失概由乙方自行承担，</w:t>
      </w:r>
      <w:r>
        <w:rPr>
          <w:rFonts w:hint="eastAsia" w:ascii="宋体" w:hAnsi="宋体" w:cs="宋体"/>
          <w:sz w:val="28"/>
          <w:szCs w:val="28"/>
        </w:rPr>
        <w:t>若林业部门补拨的造林款，属于乙方造林区域内的部分</w:t>
      </w:r>
      <w:r>
        <w:rPr>
          <w:rFonts w:hint="eastAsia" w:asciiTheme="majorEastAsia" w:hAnsiTheme="majorEastAsia" w:eastAsiaTheme="majorEastAsia" w:cstheme="majorEastAsia"/>
          <w:sz w:val="28"/>
          <w:szCs w:val="28"/>
        </w:rPr>
        <w:t>归乙方所有</w:t>
      </w:r>
      <w:r>
        <w:rPr>
          <w:rFonts w:hint="eastAsia" w:asciiTheme="majorEastAsia" w:hAnsiTheme="majorEastAsia" w:eastAsiaTheme="majorEastAsia" w:cstheme="majorEastAsia"/>
          <w:sz w:val="28"/>
          <w:szCs w:val="28"/>
          <w:u w:val="none"/>
          <w:lang w:eastAsia="zh-CN"/>
        </w:rPr>
        <w:t>。</w:t>
      </w:r>
      <w:r>
        <w:rPr>
          <w:rFonts w:hint="eastAsia"/>
          <w:sz w:val="28"/>
          <w:szCs w:val="28"/>
          <w:u w:val="none"/>
        </w:rPr>
        <w:t>双方共同责任、权属等有关规定：</w:t>
      </w:r>
    </w:p>
    <w:p w14:paraId="5DB1C78E">
      <w:pPr>
        <w:ind w:firstLine="630"/>
        <w:rPr>
          <w:rFonts w:hint="default" w:ascii="宋体" w:hAnsi="宋体" w:eastAsia="宋体" w:cs="宋体"/>
          <w:sz w:val="28"/>
          <w:szCs w:val="28"/>
          <w:u w:val="none"/>
          <w:lang w:val="en-US" w:eastAsia="zh-CN"/>
        </w:rPr>
      </w:pPr>
      <w:r>
        <w:rPr>
          <w:rFonts w:hint="eastAsia" w:ascii="宋体" w:hAnsi="宋体" w:eastAsia="宋体" w:cs="宋体"/>
          <w:color w:val="auto"/>
          <w:sz w:val="28"/>
          <w:szCs w:val="28"/>
          <w:highlight w:val="none"/>
          <w:shd w:val="clear" w:color="auto" w:fill="auto"/>
        </w:rPr>
        <w:t>1</w:t>
      </w:r>
      <w:r>
        <w:rPr>
          <w:rFonts w:hint="eastAsia" w:ascii="宋体" w:hAnsi="宋体" w:eastAsia="宋体" w:cs="宋体"/>
          <w:color w:val="auto"/>
          <w:sz w:val="28"/>
          <w:szCs w:val="28"/>
          <w:highlight w:val="none"/>
          <w:shd w:val="clear" w:color="auto" w:fill="auto"/>
          <w:lang w:eastAsia="zh-CN"/>
        </w:rPr>
        <w:t>、</w:t>
      </w:r>
      <w:r>
        <w:rPr>
          <w:rFonts w:hint="eastAsia" w:ascii="宋体" w:hAnsi="宋体" w:eastAsia="宋体" w:cs="宋体"/>
          <w:sz w:val="28"/>
          <w:szCs w:val="28"/>
          <w:u w:val="none"/>
          <w:lang w:eastAsia="zh-CN"/>
        </w:rPr>
        <w:t>上交利润：受让方在第二次间伐办证时，每亩无偿上交壹立方米原木，共计（</w:t>
      </w:r>
      <w:r>
        <w:rPr>
          <w:rFonts w:hint="eastAsia" w:ascii="宋体" w:hAnsi="宋体" w:cs="宋体"/>
          <w:sz w:val="28"/>
          <w:szCs w:val="28"/>
          <w:highlight w:val="none"/>
          <w:u w:val="none"/>
          <w:lang w:val="en-US" w:eastAsia="zh-CN"/>
        </w:rPr>
        <w:t>178.5</w:t>
      </w:r>
      <w:r>
        <w:rPr>
          <w:rFonts w:hint="eastAsia" w:ascii="宋体" w:hAnsi="宋体" w:eastAsia="宋体" w:cs="宋体"/>
          <w:sz w:val="28"/>
          <w:szCs w:val="28"/>
          <w:u w:val="none"/>
          <w:lang w:val="en-US" w:eastAsia="zh-CN"/>
        </w:rPr>
        <w:t>亩）壹佰柒拾捌点伍立方米原木（</w:t>
      </w:r>
      <w:r>
        <w:rPr>
          <w:rFonts w:hint="eastAsia" w:ascii="宋体" w:hAnsi="宋体" w:cs="宋体"/>
          <w:sz w:val="28"/>
          <w:szCs w:val="28"/>
          <w:highlight w:val="none"/>
          <w:u w:val="none"/>
          <w:lang w:val="en-US" w:eastAsia="zh-CN"/>
        </w:rPr>
        <w:t>178.5</w:t>
      </w:r>
      <w:r>
        <w:rPr>
          <w:rFonts w:hint="eastAsia" w:ascii="宋体" w:hAnsi="宋体" w:eastAsia="宋体" w:cs="宋体"/>
          <w:sz w:val="28"/>
          <w:szCs w:val="28"/>
          <w:u w:val="none"/>
          <w:lang w:val="en-US" w:eastAsia="zh-CN"/>
        </w:rPr>
        <w:t>m</w:t>
      </w:r>
      <w:r>
        <w:rPr>
          <w:rFonts w:hint="eastAsia" w:ascii="宋体" w:hAnsi="宋体" w:eastAsia="宋体" w:cs="宋体"/>
          <w:sz w:val="28"/>
          <w:szCs w:val="28"/>
          <w:u w:val="none"/>
          <w:vertAlign w:val="superscript"/>
          <w:lang w:val="en-US" w:eastAsia="zh-CN"/>
        </w:rPr>
        <w:t>3</w:t>
      </w:r>
      <w:r>
        <w:rPr>
          <w:rFonts w:hint="eastAsia" w:ascii="宋体" w:hAnsi="宋体" w:eastAsia="宋体" w:cs="宋体"/>
          <w:sz w:val="28"/>
          <w:szCs w:val="28"/>
          <w:u w:val="none"/>
          <w:lang w:val="en-US" w:eastAsia="zh-CN"/>
        </w:rPr>
        <w:t>),规格长4米口径12公分以上或按当年市场价折币给出让方，作为林地使用费，未交清出让方不出具任何手续，受让方不得采伐。</w:t>
      </w:r>
    </w:p>
    <w:p w14:paraId="496726DF">
      <w:pPr>
        <w:ind w:firstLine="630"/>
        <w:rPr>
          <w:rFonts w:hint="eastAsia"/>
          <w:sz w:val="28"/>
          <w:szCs w:val="28"/>
          <w:u w:val="none"/>
        </w:rPr>
      </w:pPr>
      <w:r>
        <w:rPr>
          <w:rFonts w:hint="eastAsia"/>
          <w:sz w:val="28"/>
          <w:szCs w:val="28"/>
          <w:u w:val="none"/>
        </w:rPr>
        <w:t>2</w:t>
      </w:r>
      <w:r>
        <w:rPr>
          <w:rFonts w:hint="eastAsia"/>
          <w:sz w:val="28"/>
          <w:szCs w:val="28"/>
          <w:u w:val="none"/>
          <w:lang w:eastAsia="zh-CN"/>
        </w:rPr>
        <w:t>、</w:t>
      </w:r>
      <w:r>
        <w:rPr>
          <w:rFonts w:hint="eastAsia"/>
          <w:sz w:val="28"/>
          <w:szCs w:val="28"/>
          <w:highlight w:val="yellow"/>
          <w:u w:val="none"/>
        </w:rPr>
        <w:t>甲方应积极协助乙方的管理工作，如乙方抓获他人偷盗木材时，甲方配合处理，</w:t>
      </w:r>
      <w:r>
        <w:rPr>
          <w:rFonts w:hint="eastAsia" w:ascii="宋体" w:hAnsi="宋体" w:eastAsia="宋体" w:cs="宋体"/>
          <w:color w:val="auto"/>
          <w:sz w:val="28"/>
          <w:szCs w:val="28"/>
          <w:highlight w:val="yellow"/>
          <w:shd w:val="clear" w:color="auto" w:fill="auto"/>
          <w:lang w:val="en-US" w:eastAsia="zh-CN"/>
        </w:rPr>
        <w:t>由此所得赔偿归</w:t>
      </w:r>
      <w:r>
        <w:rPr>
          <w:rFonts w:hint="eastAsia" w:ascii="宋体" w:hAnsi="宋体" w:cs="宋体"/>
          <w:color w:val="auto"/>
          <w:sz w:val="28"/>
          <w:szCs w:val="28"/>
          <w:highlight w:val="yellow"/>
          <w:shd w:val="clear" w:color="auto" w:fill="auto"/>
          <w:lang w:val="en-US" w:eastAsia="zh-CN"/>
        </w:rPr>
        <w:t>甲</w:t>
      </w:r>
      <w:r>
        <w:rPr>
          <w:rFonts w:hint="eastAsia" w:ascii="宋体" w:hAnsi="宋体" w:eastAsia="宋体" w:cs="宋体"/>
          <w:color w:val="auto"/>
          <w:sz w:val="28"/>
          <w:szCs w:val="28"/>
          <w:highlight w:val="yellow"/>
          <w:shd w:val="clear" w:color="auto" w:fill="auto"/>
          <w:lang w:val="en-US" w:eastAsia="zh-CN"/>
        </w:rPr>
        <w:t>方所有，被盗取林木资产归</w:t>
      </w:r>
      <w:r>
        <w:rPr>
          <w:rFonts w:hint="eastAsia" w:ascii="宋体" w:hAnsi="宋体" w:cs="宋体"/>
          <w:color w:val="auto"/>
          <w:sz w:val="28"/>
          <w:szCs w:val="28"/>
          <w:highlight w:val="yellow"/>
          <w:shd w:val="clear" w:color="auto" w:fill="auto"/>
          <w:lang w:val="en-US" w:eastAsia="zh-CN"/>
        </w:rPr>
        <w:t>乙</w:t>
      </w:r>
      <w:r>
        <w:rPr>
          <w:rFonts w:hint="eastAsia" w:ascii="宋体" w:hAnsi="宋体" w:eastAsia="宋体" w:cs="宋体"/>
          <w:color w:val="auto"/>
          <w:sz w:val="28"/>
          <w:szCs w:val="28"/>
          <w:highlight w:val="yellow"/>
          <w:shd w:val="clear" w:color="auto" w:fill="auto"/>
          <w:lang w:val="en-US" w:eastAsia="zh-CN"/>
        </w:rPr>
        <w:t>方所有</w:t>
      </w:r>
      <w:r>
        <w:rPr>
          <w:rFonts w:hint="eastAsia"/>
          <w:sz w:val="28"/>
          <w:szCs w:val="28"/>
          <w:u w:val="none"/>
        </w:rPr>
        <w:t>。</w:t>
      </w:r>
    </w:p>
    <w:p w14:paraId="268AB5D5">
      <w:pPr>
        <w:ind w:firstLine="630"/>
        <w:rPr>
          <w:rFonts w:hint="eastAsia"/>
          <w:sz w:val="28"/>
          <w:szCs w:val="28"/>
          <w:u w:val="none"/>
        </w:rPr>
      </w:pPr>
      <w:r>
        <w:rPr>
          <w:rFonts w:hint="eastAsia"/>
          <w:sz w:val="28"/>
          <w:szCs w:val="28"/>
          <w:u w:val="none"/>
        </w:rPr>
        <w:t>3</w:t>
      </w:r>
      <w:r>
        <w:rPr>
          <w:rFonts w:hint="eastAsia"/>
          <w:sz w:val="28"/>
          <w:szCs w:val="28"/>
          <w:u w:val="none"/>
          <w:lang w:eastAsia="zh-CN"/>
        </w:rPr>
        <w:t>、</w:t>
      </w:r>
      <w:r>
        <w:rPr>
          <w:rFonts w:hint="eastAsia"/>
          <w:sz w:val="28"/>
          <w:szCs w:val="28"/>
          <w:u w:val="none"/>
        </w:rPr>
        <w:t>乙方在管护和生产中应做好安全工作，办理意外工伤险</w:t>
      </w:r>
      <w:r>
        <w:rPr>
          <w:rFonts w:hint="eastAsia"/>
          <w:sz w:val="28"/>
          <w:szCs w:val="28"/>
          <w:u w:val="none"/>
          <w:lang w:eastAsia="zh-CN"/>
        </w:rPr>
        <w:t>，</w:t>
      </w:r>
      <w:r>
        <w:rPr>
          <w:rFonts w:hint="eastAsia"/>
          <w:sz w:val="28"/>
          <w:szCs w:val="28"/>
          <w:u w:val="none"/>
        </w:rPr>
        <w:t>一切意外工伤、自然灾害事故由乙方自行承担，</w:t>
      </w:r>
      <w:r>
        <w:rPr>
          <w:rFonts w:hint="eastAsia"/>
          <w:sz w:val="28"/>
          <w:szCs w:val="28"/>
          <w:u w:val="none"/>
          <w:lang w:eastAsia="zh-CN"/>
        </w:rPr>
        <w:t>甲</w:t>
      </w:r>
      <w:r>
        <w:rPr>
          <w:rFonts w:hint="eastAsia"/>
          <w:sz w:val="28"/>
          <w:szCs w:val="28"/>
          <w:u w:val="none"/>
        </w:rPr>
        <w:t>方概不负任何经济责任。</w:t>
      </w:r>
    </w:p>
    <w:p w14:paraId="549AFF45">
      <w:pPr>
        <w:ind w:firstLine="630"/>
        <w:rPr>
          <w:rFonts w:hint="eastAsia"/>
          <w:sz w:val="28"/>
          <w:szCs w:val="28"/>
          <w:u w:val="none"/>
        </w:rPr>
      </w:pPr>
      <w:r>
        <w:rPr>
          <w:rFonts w:hint="eastAsia"/>
          <w:sz w:val="28"/>
          <w:szCs w:val="28"/>
          <w:u w:val="none"/>
        </w:rPr>
        <w:t>4</w:t>
      </w:r>
      <w:r>
        <w:rPr>
          <w:rFonts w:hint="eastAsia"/>
          <w:sz w:val="28"/>
          <w:szCs w:val="28"/>
          <w:u w:val="none"/>
          <w:lang w:eastAsia="zh-CN"/>
        </w:rPr>
        <w:t>、</w:t>
      </w:r>
      <w:r>
        <w:rPr>
          <w:rFonts w:hint="eastAsia" w:ascii="宋体" w:hAnsi="宋体" w:cs="宋体"/>
          <w:color w:val="auto"/>
          <w:sz w:val="28"/>
          <w:szCs w:val="28"/>
          <w:highlight w:val="yellow"/>
          <w:shd w:val="clear" w:color="auto" w:fill="auto"/>
          <w:lang w:val="en-US" w:eastAsia="zh-CN"/>
        </w:rPr>
        <w:t>乙</w:t>
      </w:r>
      <w:r>
        <w:rPr>
          <w:rFonts w:hint="eastAsia" w:ascii="宋体" w:hAnsi="宋体" w:eastAsia="宋体" w:cs="宋体"/>
          <w:color w:val="auto"/>
          <w:sz w:val="28"/>
          <w:szCs w:val="28"/>
          <w:highlight w:val="yellow"/>
          <w:shd w:val="clear" w:color="auto" w:fill="auto"/>
          <w:lang w:val="en-US" w:eastAsia="zh-CN"/>
        </w:rPr>
        <w:t>方必须做好护林防火工作，一旦出现火灾时，</w:t>
      </w:r>
      <w:r>
        <w:rPr>
          <w:rFonts w:hint="eastAsia" w:ascii="宋体" w:hAnsi="宋体" w:cs="宋体"/>
          <w:color w:val="auto"/>
          <w:sz w:val="28"/>
          <w:szCs w:val="28"/>
          <w:highlight w:val="yellow"/>
          <w:shd w:val="clear" w:color="auto" w:fill="auto"/>
          <w:lang w:val="en-US" w:eastAsia="zh-CN"/>
        </w:rPr>
        <w:t>甲</w:t>
      </w:r>
      <w:r>
        <w:rPr>
          <w:rFonts w:hint="eastAsia" w:ascii="宋体" w:hAnsi="宋体" w:eastAsia="宋体" w:cs="宋体"/>
          <w:color w:val="auto"/>
          <w:sz w:val="28"/>
          <w:szCs w:val="28"/>
          <w:highlight w:val="yellow"/>
          <w:shd w:val="clear" w:color="auto" w:fill="auto"/>
          <w:lang w:val="en-US" w:eastAsia="zh-CN"/>
        </w:rPr>
        <w:t>方积极组织人员协助救灾，打火工资等一切经济开支及火灾造成的一切损失由</w:t>
      </w:r>
      <w:r>
        <w:rPr>
          <w:rFonts w:hint="eastAsia" w:ascii="宋体" w:hAnsi="宋体" w:cs="宋体"/>
          <w:color w:val="auto"/>
          <w:sz w:val="28"/>
          <w:szCs w:val="28"/>
          <w:highlight w:val="yellow"/>
          <w:shd w:val="clear" w:color="auto" w:fill="auto"/>
          <w:lang w:val="en-US" w:eastAsia="zh-CN"/>
        </w:rPr>
        <w:t>乙</w:t>
      </w:r>
      <w:r>
        <w:rPr>
          <w:rFonts w:hint="eastAsia" w:ascii="宋体" w:hAnsi="宋体" w:eastAsia="宋体" w:cs="宋体"/>
          <w:color w:val="auto"/>
          <w:sz w:val="28"/>
          <w:szCs w:val="28"/>
          <w:highlight w:val="yellow"/>
          <w:shd w:val="clear" w:color="auto" w:fill="auto"/>
          <w:lang w:val="en-US" w:eastAsia="zh-CN"/>
        </w:rPr>
        <w:t>方承担</w:t>
      </w:r>
      <w:r>
        <w:rPr>
          <w:rFonts w:hint="eastAsia"/>
          <w:sz w:val="28"/>
          <w:szCs w:val="28"/>
          <w:u w:val="none"/>
        </w:rPr>
        <w:t>。</w:t>
      </w:r>
    </w:p>
    <w:p w14:paraId="0728B78B">
      <w:pPr>
        <w:ind w:firstLine="630"/>
        <w:rPr>
          <w:rFonts w:hint="eastAsia"/>
          <w:sz w:val="28"/>
          <w:szCs w:val="28"/>
          <w:u w:val="none"/>
        </w:rPr>
      </w:pPr>
      <w:r>
        <w:rPr>
          <w:rFonts w:hint="eastAsia"/>
          <w:sz w:val="28"/>
          <w:szCs w:val="28"/>
          <w:u w:val="none"/>
        </w:rPr>
        <w:t>5</w:t>
      </w:r>
      <w:r>
        <w:rPr>
          <w:rFonts w:hint="eastAsia"/>
          <w:sz w:val="28"/>
          <w:szCs w:val="28"/>
          <w:u w:val="none"/>
          <w:lang w:eastAsia="zh-CN"/>
        </w:rPr>
        <w:t>、</w:t>
      </w:r>
      <w:r>
        <w:rPr>
          <w:rFonts w:hint="eastAsia"/>
          <w:sz w:val="28"/>
          <w:szCs w:val="28"/>
          <w:u w:val="none"/>
        </w:rPr>
        <w:t>若遇国家、甲方公益建设、山场开路等需征用乙方承包地，乙方必须无条件服从。</w:t>
      </w:r>
      <w:r>
        <w:rPr>
          <w:rFonts w:hint="eastAsia"/>
          <w:sz w:val="28"/>
          <w:szCs w:val="28"/>
          <w:u w:val="none"/>
          <w:lang w:val="en-US" w:eastAsia="zh-CN"/>
        </w:rPr>
        <w:t>土</w:t>
      </w:r>
      <w:r>
        <w:rPr>
          <w:rFonts w:hint="eastAsia"/>
          <w:sz w:val="28"/>
          <w:szCs w:val="28"/>
          <w:u w:val="none"/>
        </w:rPr>
        <w:t>地补偿款、劳动力安置费一律属甲方所有，乙方只能享有林木补偿款，但不准高于国家核定的标准。</w:t>
      </w:r>
    </w:p>
    <w:p w14:paraId="62DBF1A2">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bCs/>
          <w:sz w:val="28"/>
          <w:szCs w:val="28"/>
          <w:u w:val="none"/>
          <w:lang w:val="en-US" w:eastAsia="zh-CN"/>
        </w:rPr>
        <w:t>七</w:t>
      </w:r>
      <w:r>
        <w:rPr>
          <w:rFonts w:hint="eastAsia" w:asciiTheme="majorEastAsia" w:hAnsiTheme="majorEastAsia" w:eastAsiaTheme="majorEastAsia" w:cstheme="majorEastAsia"/>
          <w:bCs/>
          <w:sz w:val="28"/>
          <w:szCs w:val="28"/>
          <w:u w:val="none"/>
        </w:rPr>
        <w:t>、</w:t>
      </w:r>
      <w:r>
        <w:rPr>
          <w:rFonts w:hint="eastAsia" w:asciiTheme="majorEastAsia" w:hAnsiTheme="majorEastAsia" w:eastAsiaTheme="majorEastAsia" w:cstheme="majorEastAsia"/>
          <w:sz w:val="28"/>
          <w:szCs w:val="28"/>
          <w:u w:val="none"/>
        </w:rPr>
        <w:t>本合同到期前，乙方须将林地恢复甲方移交至乙方时原状。若本合同林地使用年限到期前，乙方提前</w:t>
      </w:r>
      <w:r>
        <w:rPr>
          <w:rFonts w:hint="eastAsia" w:ascii="宋体" w:hAnsi="宋体" w:cs="宋体"/>
          <w:sz w:val="28"/>
          <w:szCs w:val="28"/>
          <w:u w:val="none"/>
        </w:rPr>
        <w:t>完成</w:t>
      </w:r>
      <w:r>
        <w:rPr>
          <w:rFonts w:hint="eastAsia" w:asciiTheme="majorEastAsia" w:hAnsiTheme="majorEastAsia" w:eastAsiaTheme="majorEastAsia" w:cstheme="majorEastAsia"/>
          <w:sz w:val="28"/>
          <w:szCs w:val="28"/>
          <w:u w:val="none"/>
        </w:rPr>
        <w:t>砍伐，则甲方有权提前收回林地，该林地经营权归甲方所有；</w:t>
      </w:r>
      <w:bookmarkStart w:id="0" w:name="_GoBack"/>
      <w:r>
        <w:rPr>
          <w:rFonts w:hint="eastAsia" w:asciiTheme="majorEastAsia" w:hAnsiTheme="majorEastAsia" w:eastAsiaTheme="majorEastAsia" w:cstheme="majorEastAsia"/>
          <w:sz w:val="28"/>
          <w:szCs w:val="28"/>
          <w:highlight w:val="green"/>
          <w:u w:val="none"/>
        </w:rPr>
        <w:t>若</w:t>
      </w:r>
      <w:r>
        <w:rPr>
          <w:rFonts w:hint="eastAsia" w:asciiTheme="majorEastAsia" w:hAnsiTheme="majorEastAsia" w:eastAsiaTheme="majorEastAsia" w:cstheme="majorEastAsia"/>
          <w:sz w:val="28"/>
          <w:szCs w:val="28"/>
          <w:highlight w:val="green"/>
          <w:u w:val="none"/>
          <w:lang w:val="en-US" w:eastAsia="zh-CN"/>
        </w:rPr>
        <w:t>本合同</w:t>
      </w:r>
      <w:r>
        <w:rPr>
          <w:rFonts w:hint="eastAsia" w:asciiTheme="majorEastAsia" w:hAnsiTheme="majorEastAsia" w:eastAsiaTheme="majorEastAsia" w:cstheme="majorEastAsia"/>
          <w:sz w:val="28"/>
          <w:szCs w:val="28"/>
          <w:highlight w:val="green"/>
          <w:u w:val="none"/>
        </w:rPr>
        <w:t>林地使用年限到期后</w:t>
      </w:r>
      <w:r>
        <w:rPr>
          <w:rFonts w:hint="eastAsia" w:asciiTheme="majorEastAsia" w:hAnsiTheme="majorEastAsia" w:eastAsiaTheme="majorEastAsia" w:cstheme="majorEastAsia"/>
          <w:sz w:val="28"/>
          <w:szCs w:val="28"/>
          <w:highlight w:val="green"/>
          <w:u w:val="none"/>
          <w:lang w:eastAsia="zh-CN"/>
        </w:rPr>
        <w:t>乙方</w:t>
      </w:r>
      <w:r>
        <w:rPr>
          <w:rFonts w:hint="eastAsia" w:asciiTheme="majorEastAsia" w:hAnsiTheme="majorEastAsia" w:eastAsiaTheme="majorEastAsia" w:cstheme="majorEastAsia"/>
          <w:sz w:val="28"/>
          <w:szCs w:val="28"/>
          <w:highlight w:val="green"/>
          <w:u w:val="none"/>
        </w:rPr>
        <w:t>仍未将林木采伐完，</w:t>
      </w:r>
      <w:r>
        <w:rPr>
          <w:rFonts w:hint="eastAsia" w:asciiTheme="majorEastAsia" w:hAnsiTheme="majorEastAsia" w:eastAsiaTheme="majorEastAsia" w:cstheme="majorEastAsia"/>
          <w:sz w:val="28"/>
          <w:szCs w:val="28"/>
          <w:highlight w:val="green"/>
          <w:u w:val="none"/>
          <w:lang w:eastAsia="zh-CN"/>
        </w:rPr>
        <w:t>乙方</w:t>
      </w:r>
      <w:r>
        <w:rPr>
          <w:rFonts w:hint="eastAsia" w:asciiTheme="majorEastAsia" w:hAnsiTheme="majorEastAsia" w:eastAsiaTheme="majorEastAsia" w:cstheme="majorEastAsia"/>
          <w:sz w:val="28"/>
          <w:szCs w:val="28"/>
          <w:highlight w:val="green"/>
          <w:u w:val="none"/>
        </w:rPr>
        <w:t>确需延期采伐的，需提前15个工作日向</w:t>
      </w:r>
      <w:r>
        <w:rPr>
          <w:rFonts w:hint="eastAsia" w:asciiTheme="majorEastAsia" w:hAnsiTheme="majorEastAsia" w:eastAsiaTheme="majorEastAsia" w:cstheme="majorEastAsia"/>
          <w:sz w:val="28"/>
          <w:szCs w:val="28"/>
          <w:highlight w:val="green"/>
          <w:u w:val="none"/>
          <w:lang w:eastAsia="zh-CN"/>
        </w:rPr>
        <w:t>甲方</w:t>
      </w:r>
      <w:r>
        <w:rPr>
          <w:rFonts w:hint="eastAsia" w:asciiTheme="majorEastAsia" w:hAnsiTheme="majorEastAsia" w:eastAsiaTheme="majorEastAsia" w:cstheme="majorEastAsia"/>
          <w:sz w:val="28"/>
          <w:szCs w:val="28"/>
          <w:highlight w:val="green"/>
          <w:u w:val="none"/>
        </w:rPr>
        <w:t>申请，经</w:t>
      </w:r>
      <w:r>
        <w:rPr>
          <w:rFonts w:hint="eastAsia" w:asciiTheme="majorEastAsia" w:hAnsiTheme="majorEastAsia" w:eastAsiaTheme="majorEastAsia" w:cstheme="majorEastAsia"/>
          <w:sz w:val="28"/>
          <w:szCs w:val="28"/>
          <w:highlight w:val="green"/>
          <w:u w:val="none"/>
          <w:lang w:eastAsia="zh-CN"/>
        </w:rPr>
        <w:t>甲方</w:t>
      </w:r>
      <w:r>
        <w:rPr>
          <w:rFonts w:hint="eastAsia" w:asciiTheme="majorEastAsia" w:hAnsiTheme="majorEastAsia" w:eastAsiaTheme="majorEastAsia" w:cstheme="majorEastAsia"/>
          <w:sz w:val="28"/>
          <w:szCs w:val="28"/>
          <w:highlight w:val="green"/>
          <w:u w:val="none"/>
        </w:rPr>
        <w:t>同意后方可延期采伐，且</w:t>
      </w:r>
      <w:r>
        <w:rPr>
          <w:rFonts w:hint="eastAsia" w:asciiTheme="majorEastAsia" w:hAnsiTheme="majorEastAsia" w:eastAsiaTheme="majorEastAsia" w:cstheme="majorEastAsia"/>
          <w:sz w:val="28"/>
          <w:szCs w:val="28"/>
          <w:highlight w:val="green"/>
          <w:u w:val="none"/>
          <w:lang w:eastAsia="zh-CN"/>
        </w:rPr>
        <w:t>乙方</w:t>
      </w:r>
      <w:r>
        <w:rPr>
          <w:rFonts w:hint="eastAsia" w:asciiTheme="majorEastAsia" w:hAnsiTheme="majorEastAsia" w:eastAsiaTheme="majorEastAsia" w:cstheme="majorEastAsia"/>
          <w:sz w:val="28"/>
          <w:szCs w:val="28"/>
          <w:highlight w:val="green"/>
          <w:u w:val="none"/>
        </w:rPr>
        <w:t>须在合同到期后3日内按每年每亩50元（未满一年按一年计）标准向</w:t>
      </w:r>
      <w:r>
        <w:rPr>
          <w:rFonts w:hint="eastAsia" w:asciiTheme="majorEastAsia" w:hAnsiTheme="majorEastAsia" w:eastAsiaTheme="majorEastAsia" w:cstheme="majorEastAsia"/>
          <w:sz w:val="28"/>
          <w:szCs w:val="28"/>
          <w:highlight w:val="green"/>
          <w:u w:val="none"/>
          <w:lang w:eastAsia="zh-CN"/>
        </w:rPr>
        <w:t>甲方</w:t>
      </w:r>
      <w:r>
        <w:rPr>
          <w:rFonts w:hint="eastAsia" w:asciiTheme="majorEastAsia" w:hAnsiTheme="majorEastAsia" w:eastAsiaTheme="majorEastAsia" w:cstheme="majorEastAsia"/>
          <w:sz w:val="28"/>
          <w:szCs w:val="28"/>
          <w:highlight w:val="green"/>
          <w:u w:val="none"/>
        </w:rPr>
        <w:t>缴纳延期费用，未提前向</w:t>
      </w:r>
      <w:r>
        <w:rPr>
          <w:rFonts w:hint="eastAsia" w:asciiTheme="majorEastAsia" w:hAnsiTheme="majorEastAsia" w:eastAsiaTheme="majorEastAsia" w:cstheme="majorEastAsia"/>
          <w:sz w:val="28"/>
          <w:szCs w:val="28"/>
          <w:highlight w:val="green"/>
          <w:u w:val="none"/>
          <w:lang w:eastAsia="zh-CN"/>
        </w:rPr>
        <w:t>甲方</w:t>
      </w:r>
      <w:r>
        <w:rPr>
          <w:rFonts w:hint="eastAsia" w:asciiTheme="majorEastAsia" w:hAnsiTheme="majorEastAsia" w:eastAsiaTheme="majorEastAsia" w:cstheme="majorEastAsia"/>
          <w:sz w:val="28"/>
          <w:szCs w:val="28"/>
          <w:highlight w:val="green"/>
          <w:u w:val="none"/>
        </w:rPr>
        <w:t>申请，或依据当地林业政策规定</w:t>
      </w:r>
      <w:r>
        <w:rPr>
          <w:rFonts w:hint="eastAsia" w:asciiTheme="majorEastAsia" w:hAnsiTheme="majorEastAsia" w:eastAsiaTheme="majorEastAsia" w:cstheme="majorEastAsia"/>
          <w:sz w:val="28"/>
          <w:szCs w:val="28"/>
          <w:highlight w:val="green"/>
          <w:u w:val="none"/>
          <w:lang w:eastAsia="zh-CN"/>
        </w:rPr>
        <w:t>乙方</w:t>
      </w:r>
      <w:r>
        <w:rPr>
          <w:rFonts w:hint="eastAsia" w:asciiTheme="majorEastAsia" w:hAnsiTheme="majorEastAsia" w:eastAsiaTheme="majorEastAsia" w:cstheme="majorEastAsia"/>
          <w:sz w:val="28"/>
          <w:szCs w:val="28"/>
          <w:highlight w:val="green"/>
          <w:u w:val="none"/>
        </w:rPr>
        <w:t>不得继续采伐，则</w:t>
      </w:r>
      <w:r>
        <w:rPr>
          <w:rFonts w:hint="eastAsia" w:asciiTheme="majorEastAsia" w:hAnsiTheme="majorEastAsia" w:eastAsiaTheme="majorEastAsia" w:cstheme="majorEastAsia"/>
          <w:sz w:val="28"/>
          <w:szCs w:val="28"/>
          <w:highlight w:val="green"/>
          <w:u w:val="none"/>
          <w:lang w:eastAsia="zh-CN"/>
        </w:rPr>
        <w:t>乙方</w:t>
      </w:r>
      <w:r>
        <w:rPr>
          <w:rFonts w:hint="eastAsia" w:asciiTheme="majorEastAsia" w:hAnsiTheme="majorEastAsia" w:eastAsiaTheme="majorEastAsia" w:cstheme="majorEastAsia"/>
          <w:sz w:val="28"/>
          <w:szCs w:val="28"/>
          <w:highlight w:val="green"/>
          <w:u w:val="none"/>
        </w:rPr>
        <w:t>应及时无条件将标的移交至</w:t>
      </w:r>
      <w:r>
        <w:rPr>
          <w:rFonts w:hint="eastAsia" w:asciiTheme="majorEastAsia" w:hAnsiTheme="majorEastAsia" w:eastAsiaTheme="majorEastAsia" w:cstheme="majorEastAsia"/>
          <w:sz w:val="28"/>
          <w:szCs w:val="28"/>
          <w:highlight w:val="green"/>
          <w:u w:val="none"/>
          <w:lang w:eastAsia="zh-CN"/>
        </w:rPr>
        <w:t>甲方</w:t>
      </w:r>
      <w:r>
        <w:rPr>
          <w:rFonts w:hint="eastAsia" w:asciiTheme="majorEastAsia" w:hAnsiTheme="majorEastAsia" w:eastAsiaTheme="majorEastAsia" w:cstheme="majorEastAsia"/>
          <w:sz w:val="28"/>
          <w:szCs w:val="28"/>
          <w:highlight w:val="green"/>
          <w:u w:val="none"/>
        </w:rPr>
        <w:t>。</w:t>
      </w:r>
      <w:bookmarkEnd w:id="0"/>
    </w:p>
    <w:p w14:paraId="44E56C0C">
      <w:pPr>
        <w:autoSpaceDE w:val="0"/>
        <w:autoSpaceDN w:val="0"/>
        <w:snapToGrid w:val="0"/>
        <w:spacing w:line="500" w:lineRule="exact"/>
        <w:ind w:firstLine="560" w:firstLineChars="200"/>
        <w:jc w:val="left"/>
        <w:rPr>
          <w:rFonts w:asciiTheme="majorEastAsia" w:hAnsiTheme="majorEastAsia" w:eastAsiaTheme="majorEastAsia" w:cstheme="majorEastAsia"/>
          <w:bCs/>
          <w:sz w:val="28"/>
          <w:szCs w:val="28"/>
          <w:u w:val="none"/>
        </w:rPr>
      </w:pPr>
      <w:r>
        <w:rPr>
          <w:rFonts w:hint="eastAsia" w:asciiTheme="majorEastAsia" w:hAnsiTheme="majorEastAsia" w:eastAsiaTheme="majorEastAsia" w:cstheme="majorEastAsia"/>
          <w:bCs/>
          <w:sz w:val="28"/>
          <w:szCs w:val="28"/>
          <w:u w:val="none"/>
          <w:lang w:val="en-US" w:eastAsia="zh-CN"/>
        </w:rPr>
        <w:t>八</w:t>
      </w:r>
      <w:r>
        <w:rPr>
          <w:rFonts w:hint="eastAsia" w:asciiTheme="majorEastAsia" w:hAnsiTheme="majorEastAsia" w:eastAsiaTheme="majorEastAsia" w:cstheme="majorEastAsia"/>
          <w:bCs/>
          <w:sz w:val="28"/>
          <w:szCs w:val="28"/>
          <w:u w:val="none"/>
        </w:rPr>
        <w:t>、</w:t>
      </w:r>
      <w:r>
        <w:rPr>
          <w:rFonts w:hint="eastAsia" w:asciiTheme="majorEastAsia" w:hAnsiTheme="majorEastAsia" w:eastAsiaTheme="majorEastAsia" w:cstheme="majorEastAsia"/>
          <w:sz w:val="28"/>
          <w:szCs w:val="28"/>
          <w:u w:val="none"/>
        </w:rPr>
        <w:t>乙方</w:t>
      </w:r>
      <w:r>
        <w:rPr>
          <w:rFonts w:hint="eastAsia" w:asciiTheme="majorEastAsia" w:hAnsiTheme="majorEastAsia" w:eastAsiaTheme="majorEastAsia" w:cstheme="majorEastAsia"/>
          <w:bCs/>
          <w:sz w:val="28"/>
          <w:szCs w:val="28"/>
          <w:u w:val="none"/>
          <w:lang w:eastAsia="zh-TW"/>
        </w:rPr>
        <w:t>采伐林木时</w:t>
      </w:r>
      <w:r>
        <w:rPr>
          <w:rFonts w:hint="eastAsia" w:asciiTheme="majorEastAsia" w:hAnsiTheme="majorEastAsia" w:eastAsiaTheme="majorEastAsia" w:cstheme="majorEastAsia"/>
          <w:bCs/>
          <w:sz w:val="28"/>
          <w:szCs w:val="28"/>
          <w:u w:val="none"/>
        </w:rPr>
        <w:t>,</w:t>
      </w:r>
      <w:r>
        <w:rPr>
          <w:rFonts w:hint="eastAsia" w:asciiTheme="majorEastAsia" w:hAnsiTheme="majorEastAsia" w:eastAsiaTheme="majorEastAsia" w:cstheme="majorEastAsia"/>
          <w:bCs/>
          <w:sz w:val="28"/>
          <w:szCs w:val="28"/>
          <w:u w:val="none"/>
          <w:lang w:eastAsia="zh-TW"/>
        </w:rPr>
        <w:t>必须</w:t>
      </w:r>
      <w:r>
        <w:rPr>
          <w:rFonts w:hint="eastAsia" w:asciiTheme="majorEastAsia" w:hAnsiTheme="majorEastAsia" w:eastAsiaTheme="majorEastAsia" w:cstheme="majorEastAsia"/>
          <w:bCs/>
          <w:sz w:val="28"/>
          <w:szCs w:val="28"/>
          <w:u w:val="none"/>
        </w:rPr>
        <w:t>严格按照采伐设计要求和有林木采伐的法律法规进行，否则一切后果由</w:t>
      </w:r>
      <w:r>
        <w:rPr>
          <w:rFonts w:hint="eastAsia" w:asciiTheme="majorEastAsia" w:hAnsiTheme="majorEastAsia" w:eastAsiaTheme="majorEastAsia" w:cstheme="majorEastAsia"/>
          <w:sz w:val="28"/>
          <w:szCs w:val="28"/>
          <w:u w:val="none"/>
        </w:rPr>
        <w:t>乙方</w:t>
      </w:r>
      <w:r>
        <w:rPr>
          <w:rFonts w:hint="eastAsia" w:asciiTheme="majorEastAsia" w:hAnsiTheme="majorEastAsia" w:eastAsiaTheme="majorEastAsia" w:cstheme="majorEastAsia"/>
          <w:bCs/>
          <w:sz w:val="28"/>
          <w:szCs w:val="28"/>
          <w:u w:val="none"/>
        </w:rPr>
        <w:t>承担，情节严重的移交公安部门处理。</w:t>
      </w:r>
    </w:p>
    <w:p w14:paraId="0E956335">
      <w:pPr>
        <w:autoSpaceDE w:val="0"/>
        <w:autoSpaceDN w:val="0"/>
        <w:snapToGrid w:val="0"/>
        <w:spacing w:line="500" w:lineRule="exact"/>
        <w:ind w:firstLine="560" w:firstLineChars="200"/>
        <w:jc w:val="left"/>
        <w:rPr>
          <w:rFonts w:asciiTheme="majorEastAsia" w:hAnsiTheme="majorEastAsia" w:eastAsiaTheme="majorEastAsia" w:cstheme="majorEastAsia"/>
          <w:bCs/>
          <w:sz w:val="28"/>
          <w:szCs w:val="28"/>
          <w:u w:val="none"/>
        </w:rPr>
      </w:pPr>
      <w:r>
        <w:rPr>
          <w:rFonts w:hint="eastAsia" w:asciiTheme="majorEastAsia" w:hAnsiTheme="majorEastAsia" w:eastAsiaTheme="majorEastAsia" w:cstheme="majorEastAsia"/>
          <w:bCs/>
          <w:sz w:val="28"/>
          <w:szCs w:val="28"/>
          <w:u w:val="none"/>
          <w:lang w:val="en-US" w:eastAsia="zh-CN"/>
        </w:rPr>
        <w:t>九</w:t>
      </w:r>
      <w:r>
        <w:rPr>
          <w:rFonts w:hint="eastAsia" w:asciiTheme="majorEastAsia" w:hAnsiTheme="majorEastAsia" w:eastAsiaTheme="majorEastAsia" w:cstheme="majorEastAsia"/>
          <w:bCs/>
          <w:sz w:val="28"/>
          <w:szCs w:val="28"/>
          <w:u w:val="none"/>
        </w:rPr>
        <w:t>、</w:t>
      </w:r>
      <w:r>
        <w:rPr>
          <w:rFonts w:hint="eastAsia" w:asciiTheme="majorEastAsia" w:hAnsiTheme="majorEastAsia" w:eastAsiaTheme="majorEastAsia" w:cstheme="majorEastAsia"/>
          <w:sz w:val="28"/>
          <w:szCs w:val="28"/>
          <w:u w:val="none"/>
        </w:rPr>
        <w:t>乙方</w:t>
      </w:r>
      <w:r>
        <w:rPr>
          <w:rFonts w:hint="eastAsia" w:asciiTheme="majorEastAsia" w:hAnsiTheme="majorEastAsia" w:eastAsiaTheme="majorEastAsia" w:cstheme="majorEastAsia"/>
          <w:bCs/>
          <w:sz w:val="28"/>
          <w:szCs w:val="28"/>
          <w:u w:val="none"/>
          <w:lang w:eastAsia="zh-TW"/>
        </w:rPr>
        <w:t>应做到合法经营,遵守</w:t>
      </w:r>
      <w:r>
        <w:rPr>
          <w:rFonts w:hint="eastAsia" w:asciiTheme="majorEastAsia" w:hAnsiTheme="majorEastAsia" w:eastAsiaTheme="majorEastAsia" w:cstheme="majorEastAsia"/>
          <w:bCs/>
          <w:sz w:val="28"/>
          <w:szCs w:val="28"/>
          <w:u w:val="none"/>
        </w:rPr>
        <w:t>相关的法律法规</w:t>
      </w:r>
      <w:r>
        <w:rPr>
          <w:rFonts w:hint="eastAsia" w:asciiTheme="majorEastAsia" w:hAnsiTheme="majorEastAsia" w:eastAsiaTheme="majorEastAsia" w:cstheme="majorEastAsia"/>
          <w:bCs/>
          <w:sz w:val="28"/>
          <w:szCs w:val="28"/>
          <w:u w:val="none"/>
          <w:lang w:eastAsia="zh-TW"/>
        </w:rPr>
        <w:t>和林政管理的有关规定。</w:t>
      </w:r>
    </w:p>
    <w:p w14:paraId="5062C629">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lang w:val="en-US" w:eastAsia="zh-CN"/>
        </w:rPr>
        <w:t>十</w:t>
      </w:r>
      <w:r>
        <w:rPr>
          <w:rFonts w:hint="eastAsia" w:asciiTheme="majorEastAsia" w:hAnsiTheme="majorEastAsia" w:eastAsiaTheme="majorEastAsia" w:cstheme="majorEastAsia"/>
          <w:sz w:val="28"/>
          <w:szCs w:val="28"/>
          <w:u w:val="none"/>
        </w:rPr>
        <w:t>、乙方在生产经营过程应加强安全生产工作,发生安全事故一切责任由乙方负责。</w:t>
      </w:r>
    </w:p>
    <w:p w14:paraId="6697A6A7">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十</w:t>
      </w:r>
      <w:r>
        <w:rPr>
          <w:rFonts w:hint="eastAsia" w:asciiTheme="majorEastAsia" w:hAnsiTheme="majorEastAsia" w:eastAsiaTheme="majorEastAsia" w:cstheme="majorEastAsia"/>
          <w:sz w:val="28"/>
          <w:szCs w:val="28"/>
          <w:u w:val="none"/>
          <w:lang w:val="en-US" w:eastAsia="zh-CN"/>
        </w:rPr>
        <w:t>一</w:t>
      </w:r>
      <w:r>
        <w:rPr>
          <w:rFonts w:hint="eastAsia" w:asciiTheme="majorEastAsia" w:hAnsiTheme="majorEastAsia" w:eastAsiaTheme="majorEastAsia" w:cstheme="majorEastAsia"/>
          <w:sz w:val="28"/>
          <w:szCs w:val="28"/>
          <w:u w:val="none"/>
        </w:rPr>
        <w:t>、违约责任</w:t>
      </w:r>
    </w:p>
    <w:p w14:paraId="4302C16E">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1、若乙方未按照相关法律法规擅自违章搭建房屋、采伐林木及将标的用于法律法规不允许的用途，则甲方有权单方面解除合同，没收乙方缴纳的履约保证金，并有权继续向乙方追究其相应赔偿责任。</w:t>
      </w:r>
    </w:p>
    <w:p w14:paraId="32820B74">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lang w:val="en-US" w:eastAsia="zh-CN"/>
        </w:rPr>
        <w:t>2</w:t>
      </w:r>
      <w:r>
        <w:rPr>
          <w:rFonts w:hint="eastAsia" w:asciiTheme="majorEastAsia" w:hAnsiTheme="majorEastAsia" w:eastAsiaTheme="majorEastAsia" w:cstheme="majorEastAsia"/>
          <w:sz w:val="28"/>
          <w:szCs w:val="28"/>
          <w:u w:val="none"/>
        </w:rPr>
        <w:t>、合同期限届满或本合同无论因任何原因提前解除或终止的，乙方必须立即或者按照甲方发出的通知中所示期限，向甲方办理移交手续，如期交还标的。乙方逾期交还标的的，甲方有权继续向乙方追究其相应赔偿责任。</w:t>
      </w:r>
    </w:p>
    <w:p w14:paraId="3B97D676">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lang w:val="en-US" w:eastAsia="zh-CN"/>
        </w:rPr>
        <w:t>3</w:t>
      </w:r>
      <w:r>
        <w:rPr>
          <w:rFonts w:hint="eastAsia" w:asciiTheme="majorEastAsia" w:hAnsiTheme="majorEastAsia" w:eastAsiaTheme="majorEastAsia" w:cstheme="majorEastAsia"/>
          <w:sz w:val="28"/>
          <w:szCs w:val="28"/>
          <w:u w:val="none"/>
        </w:rPr>
        <w:t>、合同期内，若甲方相关人员无端故意到承包林地生事，造成乙方无法正常经营，乙方可单方面解除合同要求甲方退还保证金，并有权继续向乙方追究其相应的赔偿责任。</w:t>
      </w:r>
    </w:p>
    <w:p w14:paraId="077E403F">
      <w:pPr>
        <w:autoSpaceDE w:val="0"/>
        <w:autoSpaceDN w:val="0"/>
        <w:snapToGrid w:val="0"/>
        <w:spacing w:line="500" w:lineRule="exact"/>
        <w:ind w:firstLine="560" w:firstLineChars="200"/>
        <w:jc w:val="left"/>
        <w:rPr>
          <w:rFonts w:hint="eastAsia"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lang w:val="en-US" w:eastAsia="zh-CN"/>
        </w:rPr>
        <w:t>4</w:t>
      </w:r>
      <w:r>
        <w:rPr>
          <w:rFonts w:hint="eastAsia" w:asciiTheme="majorEastAsia" w:hAnsiTheme="majorEastAsia" w:eastAsiaTheme="majorEastAsia" w:cstheme="majorEastAsia"/>
          <w:sz w:val="28"/>
          <w:szCs w:val="28"/>
          <w:u w:val="none"/>
        </w:rPr>
        <w:t>、严禁乙方进行非农建设，严禁乙方私自转包，严禁乙方将村集体资产资源进行私自抵押。若乙方有上述违约情况之一，甲方有权没收乙方缴纳的履约保证金。</w:t>
      </w:r>
    </w:p>
    <w:p w14:paraId="60B34B7E">
      <w:pPr>
        <w:ind w:firstLine="560" w:firstLineChars="200"/>
        <w:rPr>
          <w:rFonts w:hint="eastAsia"/>
          <w:sz w:val="28"/>
          <w:szCs w:val="28"/>
          <w:u w:val="none"/>
        </w:rPr>
      </w:pPr>
      <w:r>
        <w:rPr>
          <w:rFonts w:hint="eastAsia" w:asciiTheme="majorEastAsia" w:hAnsiTheme="majorEastAsia" w:eastAsiaTheme="majorEastAsia" w:cstheme="majorEastAsia"/>
          <w:sz w:val="28"/>
          <w:szCs w:val="28"/>
          <w:u w:val="none"/>
          <w:lang w:val="en-US" w:eastAsia="zh-CN"/>
        </w:rPr>
        <w:t>5、</w:t>
      </w:r>
      <w:r>
        <w:rPr>
          <w:rFonts w:hint="eastAsia"/>
          <w:sz w:val="28"/>
          <w:szCs w:val="28"/>
          <w:u w:val="none"/>
        </w:rPr>
        <w:t>乙方在合同期间，遇不可抗力或无力经营，需转让</w:t>
      </w:r>
      <w:r>
        <w:rPr>
          <w:rFonts w:hint="eastAsia"/>
          <w:sz w:val="28"/>
          <w:szCs w:val="28"/>
          <w:u w:val="none"/>
          <w:lang w:eastAsia="zh-CN"/>
        </w:rPr>
        <w:t>林</w:t>
      </w:r>
      <w:r>
        <w:rPr>
          <w:rFonts w:hint="eastAsia"/>
          <w:sz w:val="28"/>
          <w:szCs w:val="28"/>
          <w:u w:val="none"/>
        </w:rPr>
        <w:t>木时，在不损害甲方利益的前提下，</w:t>
      </w:r>
      <w:r>
        <w:rPr>
          <w:rFonts w:hint="eastAsia"/>
          <w:sz w:val="28"/>
          <w:szCs w:val="28"/>
          <w:u w:val="none"/>
          <w:lang w:val="en-US" w:eastAsia="zh-CN"/>
        </w:rPr>
        <w:t>乙方应提前一个月通知甲方并经甲方书面同意。</w:t>
      </w:r>
    </w:p>
    <w:p w14:paraId="6576DAAB">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十</w:t>
      </w:r>
      <w:r>
        <w:rPr>
          <w:rFonts w:hint="eastAsia" w:asciiTheme="majorEastAsia" w:hAnsiTheme="majorEastAsia" w:eastAsiaTheme="majorEastAsia" w:cstheme="majorEastAsia"/>
          <w:sz w:val="28"/>
          <w:szCs w:val="28"/>
          <w:u w:val="none"/>
          <w:lang w:val="en-US" w:eastAsia="zh-CN"/>
        </w:rPr>
        <w:t>二</w:t>
      </w:r>
      <w:r>
        <w:rPr>
          <w:rFonts w:hint="eastAsia" w:asciiTheme="majorEastAsia" w:hAnsiTheme="majorEastAsia" w:eastAsiaTheme="majorEastAsia" w:cstheme="majorEastAsia"/>
          <w:sz w:val="28"/>
          <w:szCs w:val="28"/>
          <w:u w:val="none"/>
        </w:rPr>
        <w:t>、如因不可抗拒的原因导致本合同无法履行的，双方互不承担责任，本合同关系终止。不可抗拒的原因除法律规定事由外还包括因市政建设需要拆迁、土地被收储等情形，相关政府公告、信息由乙方自行向政府部门了解并已知悉。</w:t>
      </w:r>
    </w:p>
    <w:p w14:paraId="430030D1">
      <w:pPr>
        <w:autoSpaceDE w:val="0"/>
        <w:autoSpaceDN w:val="0"/>
        <w:snapToGrid w:val="0"/>
        <w:spacing w:line="500" w:lineRule="exact"/>
        <w:ind w:firstLine="560" w:firstLineChars="200"/>
        <w:jc w:val="lef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十</w:t>
      </w:r>
      <w:r>
        <w:rPr>
          <w:rFonts w:hint="eastAsia" w:asciiTheme="majorEastAsia" w:hAnsiTheme="majorEastAsia" w:eastAsiaTheme="majorEastAsia" w:cstheme="majorEastAsia"/>
          <w:sz w:val="28"/>
          <w:szCs w:val="28"/>
          <w:u w:val="none"/>
          <w:lang w:val="en-US" w:eastAsia="zh-CN"/>
        </w:rPr>
        <w:t>三</w:t>
      </w:r>
      <w:r>
        <w:rPr>
          <w:rFonts w:hint="eastAsia" w:asciiTheme="majorEastAsia" w:hAnsiTheme="majorEastAsia" w:eastAsiaTheme="majorEastAsia" w:cstheme="majorEastAsia"/>
          <w:sz w:val="28"/>
          <w:szCs w:val="28"/>
          <w:u w:val="none"/>
        </w:rPr>
        <w:t>、本合同一式四份，自甲、乙双方签订之日起生效。甲乙双方各执一份，(乡、街)农村集体资产管理部门备案一份，福建省产权交易中心留存一份。</w:t>
      </w:r>
    </w:p>
    <w:p w14:paraId="06322B51">
      <w:pPr>
        <w:snapToGrid w:val="0"/>
        <w:spacing w:line="500" w:lineRule="exact"/>
        <w:rPr>
          <w:rFonts w:hint="eastAsia" w:asciiTheme="majorEastAsia" w:hAnsiTheme="majorEastAsia" w:eastAsiaTheme="majorEastAsia" w:cstheme="majorEastAsia"/>
          <w:sz w:val="28"/>
          <w:szCs w:val="28"/>
          <w:u w:val="none"/>
        </w:rPr>
      </w:pPr>
    </w:p>
    <w:p w14:paraId="73095D57">
      <w:pPr>
        <w:snapToGrid w:val="0"/>
        <w:spacing w:line="500" w:lineRule="exact"/>
        <w:rPr>
          <w:rFonts w:hint="eastAsia" w:asciiTheme="majorEastAsia" w:hAnsiTheme="majorEastAsia" w:eastAsiaTheme="majorEastAsia" w:cstheme="majorEastAsia"/>
          <w:sz w:val="28"/>
          <w:szCs w:val="28"/>
          <w:u w:val="none"/>
        </w:rPr>
      </w:pPr>
    </w:p>
    <w:p w14:paraId="278DE849">
      <w:pPr>
        <w:snapToGrid w:val="0"/>
        <w:spacing w:line="500" w:lineRule="exac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 xml:space="preserve">甲方：                                  乙方： </w:t>
      </w:r>
    </w:p>
    <w:p w14:paraId="704592EE">
      <w:pPr>
        <w:snapToGrid w:val="0"/>
        <w:spacing w:line="500" w:lineRule="exact"/>
        <w:rPr>
          <w:rFonts w:hint="eastAsia" w:asciiTheme="majorEastAsia" w:hAnsiTheme="majorEastAsia" w:eastAsiaTheme="majorEastAsia" w:cstheme="majorEastAsia"/>
          <w:sz w:val="28"/>
          <w:szCs w:val="28"/>
          <w:u w:val="none"/>
        </w:rPr>
      </w:pPr>
    </w:p>
    <w:p w14:paraId="672C4360">
      <w:pPr>
        <w:snapToGrid w:val="0"/>
        <w:spacing w:line="500" w:lineRule="exact"/>
        <w:rPr>
          <w:rFonts w:hint="eastAsia" w:asciiTheme="majorEastAsia" w:hAnsiTheme="majorEastAsia" w:eastAsiaTheme="majorEastAsia" w:cstheme="majorEastAsia"/>
          <w:sz w:val="28"/>
          <w:szCs w:val="28"/>
          <w:u w:val="none"/>
        </w:rPr>
      </w:pPr>
    </w:p>
    <w:p w14:paraId="049DA690">
      <w:pPr>
        <w:snapToGrid w:val="0"/>
        <w:spacing w:line="500" w:lineRule="exact"/>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法定代表人或授权代表:          法定代表人（负责人）或授权代表:</w:t>
      </w:r>
    </w:p>
    <w:p w14:paraId="636A4646">
      <w:pPr>
        <w:snapToGrid w:val="0"/>
        <w:spacing w:line="500" w:lineRule="exact"/>
        <w:rPr>
          <w:rFonts w:hint="eastAsia"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 xml:space="preserve">                                      </w:t>
      </w:r>
    </w:p>
    <w:p w14:paraId="20E09208">
      <w:pPr>
        <w:snapToGrid w:val="0"/>
        <w:spacing w:line="500" w:lineRule="exact"/>
        <w:rPr>
          <w:rFonts w:hint="eastAsia" w:asciiTheme="majorEastAsia" w:hAnsiTheme="majorEastAsia" w:eastAsiaTheme="majorEastAsia" w:cstheme="majorEastAsia"/>
          <w:sz w:val="28"/>
          <w:szCs w:val="28"/>
        </w:rPr>
      </w:pPr>
    </w:p>
    <w:p w14:paraId="59DC1792">
      <w:pPr>
        <w:snapToGrid w:val="0"/>
        <w:spacing w:line="500" w:lineRule="exact"/>
        <w:rPr>
          <w:rFonts w:hint="eastAsia" w:asciiTheme="majorEastAsia" w:hAnsiTheme="majorEastAsia" w:eastAsiaTheme="majorEastAsia" w:cstheme="majorEastAsia"/>
          <w:sz w:val="28"/>
          <w:szCs w:val="28"/>
        </w:rPr>
      </w:pPr>
    </w:p>
    <w:p w14:paraId="75420E7B">
      <w:pPr>
        <w:snapToGrid w:val="0"/>
        <w:spacing w:line="500" w:lineRule="exact"/>
        <w:ind w:firstLine="6440" w:firstLineChars="2300"/>
        <w:rPr>
          <w:rFonts w:asciiTheme="majorEastAsia" w:hAnsiTheme="majorEastAsia" w:eastAsiaTheme="majorEastAsia" w:cstheme="majorEastAsia"/>
          <w:sz w:val="28"/>
          <w:szCs w:val="28"/>
          <w:u w:val="none"/>
        </w:rPr>
      </w:pPr>
      <w:r>
        <w:rPr>
          <w:rFonts w:hint="eastAsia" w:asciiTheme="majorEastAsia" w:hAnsiTheme="majorEastAsia" w:eastAsiaTheme="majorEastAsia" w:cstheme="majorEastAsia"/>
          <w:sz w:val="28"/>
          <w:szCs w:val="28"/>
          <w:u w:val="none"/>
        </w:rPr>
        <w:t xml:space="preserve"> </w:t>
      </w:r>
      <w:r>
        <w:rPr>
          <w:rFonts w:hint="eastAsia" w:asciiTheme="majorEastAsia" w:hAnsiTheme="majorEastAsia" w:eastAsiaTheme="majorEastAsia" w:cstheme="majorEastAsia"/>
          <w:sz w:val="28"/>
          <w:szCs w:val="28"/>
          <w:u w:val="none"/>
          <w:lang w:val="en-US" w:eastAsia="zh-CN"/>
        </w:rPr>
        <w:t xml:space="preserve"> </w:t>
      </w:r>
      <w:r>
        <w:rPr>
          <w:rFonts w:hint="eastAsia" w:asciiTheme="majorEastAsia" w:hAnsiTheme="majorEastAsia" w:eastAsiaTheme="majorEastAsia" w:cstheme="majorEastAsia"/>
          <w:sz w:val="28"/>
          <w:szCs w:val="28"/>
          <w:u w:val="none"/>
        </w:rPr>
        <w:t>年   月   日</w:t>
      </w:r>
    </w:p>
    <w:p w14:paraId="6E87D0CC">
      <w:pPr>
        <w:snapToGrid w:val="0"/>
        <w:spacing w:line="500" w:lineRule="exact"/>
        <w:rPr>
          <w:rFonts w:asciiTheme="majorEastAsia" w:hAnsiTheme="majorEastAsia" w:eastAsiaTheme="majorEastAsia" w:cstheme="majorEastAsia"/>
          <w:sz w:val="28"/>
          <w:szCs w:val="28"/>
        </w:rPr>
      </w:pPr>
    </w:p>
    <w:sectPr>
      <w:headerReference r:id="rId3" w:type="default"/>
      <w:pgSz w:w="11906" w:h="16838"/>
      <w:pgMar w:top="1134" w:right="1134" w:bottom="1021" w:left="124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B2372">
    <w:pPr>
      <w:pStyle w:val="12"/>
      <w:pBdr>
        <w:bottom w:val="none" w:color="000000"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bordersDoNotSurroundHeader w:val="1"/>
  <w:bordersDoNotSurroundFooter w:val="1"/>
  <w:documentProtection w:enforcement="0"/>
  <w:defaultTabStop w:val="420"/>
  <w:characterSpacingControl w:val="doNotCompress"/>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N2Y1OWIwNjAxMmUxM2JmN2JhMWVhOWVlZGQ2NzAifQ=="/>
  </w:docVars>
  <w:rsids>
    <w:rsidRoot w:val="00927E81"/>
    <w:rsid w:val="000E78B7"/>
    <w:rsid w:val="00131BDF"/>
    <w:rsid w:val="002A5679"/>
    <w:rsid w:val="00554427"/>
    <w:rsid w:val="0061524D"/>
    <w:rsid w:val="00927E81"/>
    <w:rsid w:val="00B91B7F"/>
    <w:rsid w:val="00EE3B37"/>
    <w:rsid w:val="00F7078A"/>
    <w:rsid w:val="04A0350D"/>
    <w:rsid w:val="06267342"/>
    <w:rsid w:val="06794867"/>
    <w:rsid w:val="0AAE63B6"/>
    <w:rsid w:val="0AC45978"/>
    <w:rsid w:val="0E097B78"/>
    <w:rsid w:val="1220675B"/>
    <w:rsid w:val="14691F1A"/>
    <w:rsid w:val="16763EEB"/>
    <w:rsid w:val="181C7EEB"/>
    <w:rsid w:val="19190E14"/>
    <w:rsid w:val="1DBF6ABA"/>
    <w:rsid w:val="1E733D65"/>
    <w:rsid w:val="1F984E09"/>
    <w:rsid w:val="2461171E"/>
    <w:rsid w:val="24E504B9"/>
    <w:rsid w:val="261063E6"/>
    <w:rsid w:val="288307FB"/>
    <w:rsid w:val="28A24F1B"/>
    <w:rsid w:val="28B21F6F"/>
    <w:rsid w:val="2D001E26"/>
    <w:rsid w:val="2E6A37E4"/>
    <w:rsid w:val="2F2A54E2"/>
    <w:rsid w:val="34067ADA"/>
    <w:rsid w:val="376F7CD4"/>
    <w:rsid w:val="3E481E73"/>
    <w:rsid w:val="3F715E11"/>
    <w:rsid w:val="3FAB370C"/>
    <w:rsid w:val="41824E96"/>
    <w:rsid w:val="468333F8"/>
    <w:rsid w:val="48BD308D"/>
    <w:rsid w:val="4EBE1CDD"/>
    <w:rsid w:val="4EF32B78"/>
    <w:rsid w:val="519C35D9"/>
    <w:rsid w:val="51AD5D3C"/>
    <w:rsid w:val="55B17114"/>
    <w:rsid w:val="56554FEF"/>
    <w:rsid w:val="5AFC0F63"/>
    <w:rsid w:val="5CBF050B"/>
    <w:rsid w:val="5F235FDE"/>
    <w:rsid w:val="61750B52"/>
    <w:rsid w:val="620123E4"/>
    <w:rsid w:val="64713F1C"/>
    <w:rsid w:val="64F31E4C"/>
    <w:rsid w:val="68E759F0"/>
    <w:rsid w:val="69392234"/>
    <w:rsid w:val="69D17672"/>
    <w:rsid w:val="69F47E48"/>
    <w:rsid w:val="6A2E6166"/>
    <w:rsid w:val="6B592862"/>
    <w:rsid w:val="6C864C78"/>
    <w:rsid w:val="6F34686F"/>
    <w:rsid w:val="70845F27"/>
    <w:rsid w:val="70B31DDE"/>
    <w:rsid w:val="718D01BB"/>
    <w:rsid w:val="72093818"/>
    <w:rsid w:val="74071F14"/>
    <w:rsid w:val="76707331"/>
    <w:rsid w:val="7A1701FA"/>
    <w:rsid w:val="7B3F45C1"/>
    <w:rsid w:val="7BF86A87"/>
    <w:rsid w:val="7BFB77DE"/>
    <w:rsid w:val="7D1F30F6"/>
    <w:rsid w:val="7DD72202"/>
    <w:rsid w:val="7FFB0240"/>
    <w:rsid w:val="7FFFC0D3"/>
    <w:rsid w:val="DDFD71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6"/>
    <w:qFormat/>
    <w:uiPriority w:val="0"/>
    <w:rPr>
      <w:sz w:val="18"/>
      <w:szCs w:val="18"/>
    </w:rPr>
  </w:style>
  <w:style w:type="character" w:customStyle="1" w:styleId="6">
    <w:name w:val="默认段落字体1"/>
    <w:semiHidden/>
    <w:qFormat/>
    <w:uiPriority w:val="0"/>
  </w:style>
  <w:style w:type="table" w:customStyle="1" w:styleId="7">
    <w:name w:val="普通表格1"/>
    <w:semiHidden/>
    <w:qFormat/>
    <w:uiPriority w:val="0"/>
    <w:tblPr>
      <w:tblCellMar>
        <w:top w:w="0" w:type="dxa"/>
        <w:left w:w="0" w:type="dxa"/>
        <w:bottom w:w="0" w:type="dxa"/>
        <w:right w:w="0" w:type="dxa"/>
      </w:tblCellMar>
    </w:tblPr>
  </w:style>
  <w:style w:type="paragraph" w:customStyle="1" w:styleId="8">
    <w:name w:val="批注文字1"/>
    <w:basedOn w:val="1"/>
    <w:qFormat/>
    <w:uiPriority w:val="0"/>
    <w:pPr>
      <w:jc w:val="left"/>
    </w:pPr>
  </w:style>
  <w:style w:type="paragraph" w:customStyle="1" w:styleId="9">
    <w:name w:val="正文文本缩进1"/>
    <w:basedOn w:val="1"/>
    <w:qFormat/>
    <w:uiPriority w:val="0"/>
    <w:pPr>
      <w:ind w:firstLine="560" w:firstLineChars="200"/>
    </w:pPr>
    <w:rPr>
      <w:sz w:val="28"/>
    </w:rPr>
  </w:style>
  <w:style w:type="paragraph" w:customStyle="1" w:styleId="10">
    <w:name w:val="批注框文本1"/>
    <w:basedOn w:val="1"/>
    <w:semiHidden/>
    <w:qFormat/>
    <w:uiPriority w:val="0"/>
    <w:rPr>
      <w:sz w:val="18"/>
      <w:szCs w:val="18"/>
    </w:rPr>
  </w:style>
  <w:style w:type="paragraph" w:customStyle="1" w:styleId="11">
    <w:name w:val="页脚1"/>
    <w:basedOn w:val="1"/>
    <w:qFormat/>
    <w:uiPriority w:val="0"/>
    <w:pPr>
      <w:tabs>
        <w:tab w:val="center" w:pos="4153"/>
        <w:tab w:val="right" w:pos="8306"/>
      </w:tabs>
      <w:snapToGrid w:val="0"/>
      <w:jc w:val="left"/>
    </w:pPr>
    <w:rPr>
      <w:sz w:val="18"/>
      <w:szCs w:val="18"/>
    </w:rPr>
  </w:style>
  <w:style w:type="paragraph" w:customStyle="1" w:styleId="12">
    <w:name w:val="页眉1"/>
    <w:basedOn w:val="1"/>
    <w:qFormat/>
    <w:uiPriority w:val="0"/>
    <w:pPr>
      <w:pBdr>
        <w:bottom w:val="single" w:color="000000" w:sz="6" w:space="1"/>
      </w:pBdr>
      <w:tabs>
        <w:tab w:val="center" w:pos="4153"/>
        <w:tab w:val="right" w:pos="8306"/>
      </w:tabs>
      <w:snapToGrid w:val="0"/>
      <w:jc w:val="center"/>
    </w:pPr>
    <w:rPr>
      <w:sz w:val="18"/>
      <w:szCs w:val="18"/>
    </w:rPr>
  </w:style>
  <w:style w:type="character" w:customStyle="1" w:styleId="13">
    <w:name w:val="页码1"/>
    <w:basedOn w:val="6"/>
    <w:qFormat/>
    <w:uiPriority w:val="0"/>
  </w:style>
  <w:style w:type="character" w:customStyle="1" w:styleId="14">
    <w:name w:val="ca-2"/>
    <w:basedOn w:val="6"/>
    <w:qFormat/>
    <w:uiPriority w:val="0"/>
  </w:style>
  <w:style w:type="paragraph" w:customStyle="1" w:styleId="15">
    <w:name w:val="p0"/>
    <w:basedOn w:val="1"/>
    <w:qFormat/>
    <w:uiPriority w:val="0"/>
    <w:pPr>
      <w:widowControl/>
    </w:pPr>
    <w:rPr>
      <w:kern w:val="0"/>
      <w:szCs w:val="21"/>
    </w:rPr>
  </w:style>
  <w:style w:type="character" w:customStyle="1" w:styleId="16">
    <w:name w:val="批注框文本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2161</Words>
  <Characters>2276</Characters>
  <Lines>15</Lines>
  <Paragraphs>4</Paragraphs>
  <TotalTime>0</TotalTime>
  <ScaleCrop>false</ScaleCrop>
  <LinksUpToDate>false</LinksUpToDate>
  <CharactersWithSpaces>2419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2024-10-22T13:19:00Z</dcterms:created>
  <dc:creator>超人</dc:creator>
  <cp:lastModifiedBy>张刘旭</cp:lastModifiedBy>
  <cp:lastPrinted>2025-01-15T07:46:00Z</cp:lastPrinted>
  <dcterms:modified xsi:type="dcterms:W3CDTF">2025-01-20T10:01:51Z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16DFEA29A6E8451B8169373A29ABDB9B_13</vt:lpwstr>
  </property>
  <property fmtid="{D5CDD505-2E9C-101B-9397-08002B2CF9AE}" pid="4" name="KSOTemplateDocerSaveRecord">
    <vt:lpwstr>eyJoZGlkIjoiM2RjM2ZiNjAxZjJhNjgwZmJkYWNkZmJhMTgwMDIzYzIiLCJ1c2VySWQiOiIyNzQyMzM2MTYifQ==</vt:lpwstr>
  </property>
</Properties>
</file>