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AB0B3">
      <w:pPr>
        <w:autoSpaceDE w:val="0"/>
        <w:autoSpaceDN w:val="0"/>
        <w:adjustRightInd w:val="0"/>
        <w:spacing w:line="600" w:lineRule="atLeast"/>
        <w:jc w:val="center"/>
        <w:rPr>
          <w:rFonts w:ascii="宋体" w:cs="宋体"/>
          <w:b/>
          <w:bCs/>
          <w:kern w:val="0"/>
          <w:sz w:val="56"/>
          <w:szCs w:val="52"/>
        </w:rPr>
      </w:pPr>
    </w:p>
    <w:p w14:paraId="47318C3C">
      <w:pPr>
        <w:autoSpaceDE w:val="0"/>
        <w:autoSpaceDN w:val="0"/>
        <w:adjustRightInd w:val="0"/>
        <w:spacing w:line="600" w:lineRule="atLeast"/>
        <w:jc w:val="center"/>
        <w:rPr>
          <w:rFonts w:ascii="宋体" w:cs="宋体"/>
          <w:b/>
          <w:bCs/>
          <w:kern w:val="0"/>
          <w:sz w:val="52"/>
          <w:szCs w:val="52"/>
          <w:lang w:val="zh-CN"/>
        </w:rPr>
      </w:pPr>
      <w:r>
        <w:rPr>
          <w:rFonts w:hint="eastAsia" w:ascii="宋体" w:cs="宋体"/>
          <w:b/>
          <w:bCs/>
          <w:kern w:val="0"/>
          <w:sz w:val="52"/>
          <w:szCs w:val="52"/>
          <w:lang w:val="zh-CN"/>
        </w:rPr>
        <w:t>竞  价  须  知</w:t>
      </w:r>
    </w:p>
    <w:p w14:paraId="330AF470">
      <w:pPr>
        <w:autoSpaceDE w:val="0"/>
        <w:autoSpaceDN w:val="0"/>
        <w:adjustRightInd w:val="0"/>
        <w:spacing w:line="600" w:lineRule="atLeast"/>
        <w:ind w:firstLine="260"/>
        <w:jc w:val="center"/>
        <w:rPr>
          <w:rFonts w:ascii="宋体" w:cs="宋体"/>
          <w:kern w:val="0"/>
          <w:sz w:val="52"/>
          <w:szCs w:val="52"/>
          <w:lang w:val="zh-CN"/>
        </w:rPr>
      </w:pPr>
    </w:p>
    <w:p w14:paraId="6B422A98">
      <w:pPr>
        <w:autoSpaceDE w:val="0"/>
        <w:autoSpaceDN w:val="0"/>
        <w:adjustRightInd w:val="0"/>
        <w:spacing w:line="600" w:lineRule="atLeast"/>
        <w:rPr>
          <w:rFonts w:ascii="宋体" w:cs="宋体"/>
          <w:b/>
          <w:bCs/>
          <w:kern w:val="0"/>
          <w:sz w:val="30"/>
          <w:szCs w:val="30"/>
        </w:rPr>
      </w:pPr>
    </w:p>
    <w:p w14:paraId="6BEFA93D">
      <w:pPr>
        <w:autoSpaceDE w:val="0"/>
        <w:autoSpaceDN w:val="0"/>
        <w:adjustRightInd w:val="0"/>
        <w:spacing w:after="300" w:line="600" w:lineRule="atLeast"/>
        <w:rPr>
          <w:rFonts w:hint="eastAsia" w:ascii="宋体" w:cs="宋体"/>
          <w:b/>
          <w:bCs/>
          <w:kern w:val="0"/>
          <w:sz w:val="32"/>
          <w:szCs w:val="32"/>
          <w:lang w:val="zh-CN"/>
        </w:rPr>
      </w:pPr>
      <w:r>
        <w:rPr>
          <w:rFonts w:hint="eastAsia" w:ascii="宋体" w:cs="宋体"/>
          <w:b/>
          <w:bCs/>
          <w:kern w:val="0"/>
          <w:sz w:val="32"/>
          <w:szCs w:val="32"/>
          <w:lang w:val="zh-CN"/>
        </w:rPr>
        <w:t>编    号：</w:t>
      </w:r>
      <w:r>
        <w:rPr>
          <w:rFonts w:hint="eastAsia" w:ascii="宋体" w:cs="宋体"/>
          <w:b/>
          <w:bCs/>
          <w:kern w:val="0"/>
          <w:sz w:val="32"/>
          <w:szCs w:val="32"/>
          <w:highlight w:val="yellow"/>
          <w:lang w:val="zh-CN"/>
        </w:rPr>
        <w:t>MCJJNCCQ202</w:t>
      </w:r>
      <w:r>
        <w:rPr>
          <w:rFonts w:hint="eastAsia" w:ascii="宋体" w:cs="宋体"/>
          <w:b/>
          <w:bCs/>
          <w:kern w:val="0"/>
          <w:sz w:val="32"/>
          <w:szCs w:val="32"/>
          <w:highlight w:val="yellow"/>
          <w:lang w:val="en-US" w:eastAsia="zh-CN"/>
        </w:rPr>
        <w:t>5005</w:t>
      </w:r>
      <w:r>
        <w:rPr>
          <w:rFonts w:hint="eastAsia" w:ascii="宋体" w:cs="宋体"/>
          <w:b/>
          <w:bCs/>
          <w:kern w:val="0"/>
          <w:sz w:val="32"/>
          <w:szCs w:val="32"/>
          <w:highlight w:val="yellow"/>
          <w:lang w:val="zh-CN"/>
        </w:rPr>
        <w:t>-1</w:t>
      </w:r>
    </w:p>
    <w:p w14:paraId="4FF2BFB4">
      <w:pPr>
        <w:autoSpaceDE w:val="0"/>
        <w:autoSpaceDN w:val="0"/>
        <w:adjustRightInd w:val="0"/>
        <w:spacing w:line="600" w:lineRule="atLeast"/>
        <w:rPr>
          <w:rFonts w:ascii="宋体" w:hAnsi="??_GB2312" w:cs="宋体"/>
          <w:kern w:val="0"/>
          <w:sz w:val="32"/>
          <w:szCs w:val="32"/>
          <w:lang w:val="zh-CN"/>
        </w:rPr>
      </w:pPr>
      <w:r>
        <w:rPr>
          <w:rFonts w:hint="eastAsia" w:ascii="宋体" w:hAnsi="Cambria" w:cs="宋体"/>
          <w:b/>
          <w:bCs/>
          <w:kern w:val="0"/>
          <w:sz w:val="32"/>
          <w:szCs w:val="32"/>
          <w:lang w:val="zh-CN"/>
        </w:rPr>
        <w:t>项目名称：邵武市水北镇王亭村溪西组新安</w:t>
      </w:r>
      <w:r>
        <w:rPr>
          <w:rFonts w:hint="eastAsia" w:ascii="宋体" w:hAnsi="Cambria" w:cs="宋体"/>
          <w:b/>
          <w:bCs/>
          <w:kern w:val="0"/>
          <w:sz w:val="32"/>
          <w:szCs w:val="32"/>
          <w:highlight w:val="yellow"/>
          <w:lang w:val="en-US" w:eastAsia="zh-CN"/>
        </w:rPr>
        <w:t>（外）</w:t>
      </w:r>
      <w:r>
        <w:rPr>
          <w:rFonts w:hint="eastAsia" w:ascii="宋体" w:hAnsi="Cambria" w:cs="宋体"/>
          <w:b/>
          <w:bCs/>
          <w:kern w:val="0"/>
          <w:sz w:val="32"/>
          <w:szCs w:val="32"/>
          <w:lang w:val="zh-CN"/>
        </w:rPr>
        <w:t>林地使用权</w:t>
      </w:r>
    </w:p>
    <w:p w14:paraId="7EA95E44">
      <w:pPr>
        <w:autoSpaceDE w:val="0"/>
        <w:autoSpaceDN w:val="0"/>
        <w:adjustRightInd w:val="0"/>
        <w:spacing w:line="600" w:lineRule="atLeast"/>
        <w:rPr>
          <w:rFonts w:ascii="宋体" w:hAnsi="??_GB2312" w:cs="宋体"/>
          <w:kern w:val="0"/>
          <w:sz w:val="32"/>
          <w:szCs w:val="32"/>
          <w:lang w:val="zh-CN"/>
        </w:rPr>
      </w:pPr>
    </w:p>
    <w:p w14:paraId="4B99774F">
      <w:pPr>
        <w:autoSpaceDE w:val="0"/>
        <w:autoSpaceDN w:val="0"/>
        <w:adjustRightInd w:val="0"/>
        <w:spacing w:line="600" w:lineRule="atLeast"/>
        <w:jc w:val="center"/>
        <w:rPr>
          <w:rFonts w:ascii="宋体" w:hAnsi="??_GB2312" w:cs="宋体"/>
          <w:b/>
          <w:bCs/>
          <w:kern w:val="0"/>
          <w:sz w:val="32"/>
          <w:szCs w:val="32"/>
          <w:lang w:val="zh-CN"/>
        </w:rPr>
      </w:pPr>
      <w:r>
        <w:rPr>
          <w:rFonts w:ascii="宋体" w:hAnsi="??_GB2312" w:cs="宋体"/>
          <w:kern w:val="0"/>
          <w:sz w:val="22"/>
          <w:szCs w:val="22"/>
        </w:rPr>
        <w:drawing>
          <wp:inline distT="0" distB="0" distL="0" distR="0">
            <wp:extent cx="1285875" cy="1285875"/>
            <wp:effectExtent l="0" t="0" r="9525"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4"/>
                    <a:srcRect/>
                    <a:stretch>
                      <a:fillRect/>
                    </a:stretch>
                  </pic:blipFill>
                  <pic:spPr>
                    <a:xfrm>
                      <a:off x="0" y="0"/>
                      <a:ext cx="1285875" cy="1285875"/>
                    </a:xfrm>
                    <a:prstGeom prst="rect">
                      <a:avLst/>
                    </a:prstGeom>
                    <a:noFill/>
                    <a:ln w="9525" cmpd="sng">
                      <a:noFill/>
                      <a:miter lim="800000"/>
                      <a:headEnd/>
                      <a:tailEnd/>
                    </a:ln>
                  </pic:spPr>
                </pic:pic>
              </a:graphicData>
            </a:graphic>
          </wp:inline>
        </w:drawing>
      </w:r>
    </w:p>
    <w:p w14:paraId="6351FB85">
      <w:pPr>
        <w:autoSpaceDE w:val="0"/>
        <w:autoSpaceDN w:val="0"/>
        <w:adjustRightInd w:val="0"/>
        <w:spacing w:line="600" w:lineRule="atLeast"/>
        <w:rPr>
          <w:rFonts w:ascii="宋体" w:hAnsi="??_GB2312" w:cs="宋体"/>
          <w:b/>
          <w:bCs/>
          <w:kern w:val="0"/>
          <w:sz w:val="32"/>
          <w:szCs w:val="32"/>
          <w:lang w:val="zh-CN"/>
        </w:rPr>
      </w:pPr>
    </w:p>
    <w:p w14:paraId="2823DEDD">
      <w:pPr>
        <w:autoSpaceDE w:val="0"/>
        <w:autoSpaceDN w:val="0"/>
        <w:adjustRightInd w:val="0"/>
        <w:spacing w:line="600" w:lineRule="atLeast"/>
        <w:jc w:val="center"/>
        <w:rPr>
          <w:rFonts w:ascii="宋体" w:hAnsi="??_GB2312" w:cs="宋体"/>
          <w:b/>
          <w:bCs/>
          <w:kern w:val="0"/>
          <w:sz w:val="32"/>
          <w:szCs w:val="32"/>
          <w:lang w:val="zh-CN"/>
        </w:rPr>
      </w:pPr>
    </w:p>
    <w:p w14:paraId="2AF3E91B">
      <w:pPr>
        <w:autoSpaceDE w:val="0"/>
        <w:autoSpaceDN w:val="0"/>
        <w:adjustRightInd w:val="0"/>
        <w:spacing w:line="600" w:lineRule="atLeast"/>
        <w:jc w:val="center"/>
        <w:rPr>
          <w:rFonts w:ascii="宋体" w:hAnsi="??_GB2312" w:cs="宋体"/>
          <w:b/>
          <w:bCs/>
          <w:kern w:val="0"/>
          <w:sz w:val="32"/>
          <w:szCs w:val="32"/>
          <w:lang w:val="zh-CN"/>
        </w:rPr>
      </w:pPr>
      <w:r>
        <w:rPr>
          <w:rFonts w:hint="eastAsia" w:ascii="宋体" w:hAnsi="??_GB2312" w:cs="宋体"/>
          <w:b/>
          <w:bCs/>
          <w:kern w:val="0"/>
          <w:sz w:val="32"/>
          <w:szCs w:val="32"/>
          <w:lang w:val="zh-CN"/>
        </w:rPr>
        <w:t>福 建 省 产 权 交 易 中 心</w:t>
      </w:r>
    </w:p>
    <w:p w14:paraId="506C4606">
      <w:pPr>
        <w:autoSpaceDE w:val="0"/>
        <w:autoSpaceDN w:val="0"/>
        <w:adjustRightInd w:val="0"/>
        <w:snapToGrid w:val="0"/>
        <w:spacing w:afterLines="25" w:line="600" w:lineRule="atLeast"/>
        <w:jc w:val="center"/>
        <w:rPr>
          <w:rFonts w:ascii="宋体" w:hAnsi="??_GB2312" w:cs="宋体"/>
          <w:b/>
          <w:bCs/>
          <w:kern w:val="0"/>
          <w:sz w:val="32"/>
          <w:szCs w:val="32"/>
          <w:lang w:val="zh-CN"/>
        </w:rPr>
      </w:pPr>
      <w:r>
        <w:rPr>
          <w:rFonts w:hint="eastAsia" w:ascii="宋体" w:hAnsi="??_GB2312" w:cs="宋体"/>
          <w:b/>
          <w:bCs/>
          <w:kern w:val="0"/>
          <w:sz w:val="32"/>
          <w:szCs w:val="32"/>
          <w:lang w:val="zh-CN"/>
        </w:rPr>
        <w:t>二〇二五年</w:t>
      </w:r>
      <w:r>
        <w:rPr>
          <w:rFonts w:hint="eastAsia" w:ascii="宋体" w:hAnsi="??_GB2312" w:cs="宋体"/>
          <w:b/>
          <w:bCs/>
          <w:kern w:val="0"/>
          <w:sz w:val="32"/>
          <w:szCs w:val="32"/>
          <w:lang w:val="en-US" w:eastAsia="zh-CN"/>
        </w:rPr>
        <w:t>一</w:t>
      </w:r>
      <w:r>
        <w:rPr>
          <w:rFonts w:hint="eastAsia" w:ascii="宋体" w:hAnsi="??_GB2312" w:cs="宋体"/>
          <w:b/>
          <w:bCs/>
          <w:kern w:val="0"/>
          <w:sz w:val="32"/>
          <w:szCs w:val="32"/>
          <w:lang w:val="zh-CN"/>
        </w:rPr>
        <w:t>月</w:t>
      </w:r>
    </w:p>
    <w:p w14:paraId="22875DCA">
      <w:pPr>
        <w:autoSpaceDE w:val="0"/>
        <w:autoSpaceDN w:val="0"/>
        <w:adjustRightInd w:val="0"/>
        <w:snapToGrid w:val="0"/>
        <w:spacing w:beforeLines="25" w:line="600" w:lineRule="atLeast"/>
        <w:rPr>
          <w:rFonts w:ascii="宋体" w:hAnsi="??_GB2312" w:cs="宋体"/>
          <w:b/>
          <w:bCs/>
          <w:kern w:val="0"/>
          <w:sz w:val="32"/>
          <w:szCs w:val="32"/>
          <w:lang w:val="zh-CN"/>
        </w:rPr>
      </w:pPr>
      <w:r>
        <w:rPr>
          <w:rFonts w:ascii="宋体" w:hAnsi="宋体"/>
          <w:sz w:val="32"/>
          <w:szCs w:val="3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13335</wp:posOffset>
                </wp:positionV>
                <wp:extent cx="5349240" cy="23495"/>
                <wp:effectExtent l="0" t="13970" r="3810" b="19685"/>
                <wp:wrapNone/>
                <wp:docPr id="2" name="Line 2"/>
                <wp:cNvGraphicFramePr/>
                <a:graphic xmlns:a="http://schemas.openxmlformats.org/drawingml/2006/main">
                  <a:graphicData uri="http://schemas.microsoft.com/office/word/2010/wordprocessingShape">
                    <wps:wsp>
                      <wps:cNvCnPr/>
                      <wps:spPr>
                        <a:xfrm>
                          <a:off x="0" y="0"/>
                          <a:ext cx="5349240" cy="23495"/>
                        </a:xfrm>
                        <a:prstGeom prst="line">
                          <a:avLst/>
                        </a:prstGeom>
                        <a:ln w="28575" cap="flat" cmpd="sng">
                          <a:solidFill>
                            <a:srgbClr val="000000"/>
                          </a:solidFill>
                          <a:prstDash val="solid"/>
                          <a:headEnd type="none" w="med" len="med"/>
                          <a:tailEnd type="none" w="med" len="med"/>
                        </a:ln>
                        <a:effectLst/>
                      </wps:spPr>
                      <wps:bodyPr upright="1"/>
                    </wps:wsp>
                  </a:graphicData>
                </a:graphic>
              </wp:anchor>
            </w:drawing>
          </mc:Choice>
          <mc:Fallback>
            <w:pict>
              <v:line id="Line 2" o:spid="_x0000_s1026" o:spt="20" style="position:absolute;left:0pt;margin-left:-1.8pt;margin-top:1.05pt;height:1.85pt;width:421.2pt;z-index:251659264;mso-width-relative:page;mso-height-relative:page;" filled="f" stroked="t" coordsize="21600,21600" o:gfxdata="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XTGg+1gAAAAYBAAAP&#10;AAAAAAAAAAEAIAAAACIAAABkcnMvZG93bnJldi54bWxQSwECFAAUAAAACACHTuJA4csuz+EBAADs&#10;AwAADgAAAAAAAAABACAAAAAlAQAAZHJzL2Uyb0RvYy54bWxQSwUGAAAAAAYABgBZAQAAeAUAAAAA&#10;">
                <v:fill on="f" focussize="0,0"/>
                <v:stroke weight="2.25pt" color="#000000" joinstyle="round"/>
                <v:imagedata o:title=""/>
                <o:lock v:ext="edit" aspectratio="f"/>
              </v:line>
            </w:pict>
          </mc:Fallback>
        </mc:AlternateContent>
      </w:r>
      <w:r>
        <w:rPr>
          <w:rFonts w:hint="eastAsia" w:ascii="宋体" w:hAnsi="??_GB2312" w:cs="宋体"/>
          <w:b/>
          <w:bCs/>
          <w:kern w:val="0"/>
          <w:sz w:val="32"/>
          <w:szCs w:val="32"/>
          <w:lang w:val="zh-CN"/>
        </w:rPr>
        <w:t>地  址：</w:t>
      </w:r>
      <w:r>
        <w:rPr>
          <w:rFonts w:hint="eastAsia" w:ascii="宋体" w:hAnsi="??_GB2312" w:cs="宋体"/>
          <w:b/>
          <w:bCs/>
          <w:spacing w:val="6"/>
          <w:kern w:val="0"/>
          <w:sz w:val="32"/>
          <w:szCs w:val="32"/>
          <w:lang w:val="zh-CN"/>
        </w:rPr>
        <w:t>福建省福州市湖东路152号中山大厦A座二十二层</w:t>
      </w:r>
    </w:p>
    <w:p w14:paraId="3D831FAE">
      <w:pPr>
        <w:autoSpaceDE w:val="0"/>
        <w:autoSpaceDN w:val="0"/>
        <w:adjustRightInd w:val="0"/>
        <w:spacing w:line="600" w:lineRule="atLeast"/>
        <w:rPr>
          <w:rFonts w:ascii="宋体" w:hAnsi="??_GB2312" w:cs="宋体"/>
          <w:b/>
          <w:bCs/>
          <w:kern w:val="0"/>
          <w:sz w:val="32"/>
          <w:szCs w:val="32"/>
          <w:lang w:val="zh-CN"/>
        </w:rPr>
      </w:pPr>
      <w:r>
        <w:rPr>
          <w:rFonts w:hint="eastAsia" w:ascii="宋体" w:hAnsi="??_GB2312" w:cs="宋体"/>
          <w:b/>
          <w:bCs/>
          <w:kern w:val="0"/>
          <w:sz w:val="32"/>
          <w:szCs w:val="32"/>
          <w:lang w:val="zh-CN"/>
        </w:rPr>
        <w:t>电  话：0591-8</w:t>
      </w:r>
      <w:r>
        <w:rPr>
          <w:rFonts w:hint="eastAsia" w:ascii="宋体" w:hAnsi="??_GB2312" w:cs="宋体"/>
          <w:b/>
          <w:bCs/>
          <w:kern w:val="0"/>
          <w:sz w:val="32"/>
          <w:szCs w:val="32"/>
        </w:rPr>
        <w:t>7855200</w:t>
      </w:r>
      <w:r>
        <w:rPr>
          <w:rFonts w:hint="eastAsia" w:ascii="宋体" w:hAnsi="??_GB2312" w:cs="宋体"/>
          <w:b/>
          <w:bCs/>
          <w:kern w:val="0"/>
          <w:sz w:val="32"/>
          <w:szCs w:val="32"/>
          <w:lang w:val="zh-CN"/>
        </w:rPr>
        <w:t xml:space="preserve">     邮  编：350003</w:t>
      </w:r>
    </w:p>
    <w:p w14:paraId="7C8484A1">
      <w:pPr>
        <w:autoSpaceDE w:val="0"/>
        <w:autoSpaceDN w:val="0"/>
        <w:adjustRightInd w:val="0"/>
        <w:spacing w:line="600" w:lineRule="atLeast"/>
        <w:ind w:right="-907" w:rightChars="-432"/>
        <w:rPr>
          <w:rFonts w:ascii="宋体" w:hAnsi="??_GB2312" w:cs="宋体"/>
          <w:b/>
          <w:bCs/>
          <w:kern w:val="0"/>
          <w:sz w:val="32"/>
          <w:szCs w:val="32"/>
          <w:lang w:val="zh-CN"/>
        </w:rPr>
      </w:pPr>
      <w:r>
        <w:rPr>
          <w:rFonts w:hint="eastAsia" w:ascii="宋体" w:hAnsi="??_GB2312" w:cs="宋体"/>
          <w:b/>
          <w:bCs/>
          <w:kern w:val="0"/>
          <w:sz w:val="32"/>
          <w:szCs w:val="32"/>
          <w:lang w:val="zh-CN"/>
        </w:rPr>
        <w:t>传  真：0591-87854516     网  址：</w:t>
      </w:r>
      <w:r>
        <w:fldChar w:fldCharType="begin"/>
      </w:r>
      <w:r>
        <w:instrText xml:space="preserve"> HYPERLINK "http://www.fjcqjy.com" </w:instrText>
      </w:r>
      <w:r>
        <w:fldChar w:fldCharType="separate"/>
      </w:r>
      <w:r>
        <w:rPr>
          <w:rFonts w:hint="eastAsia" w:ascii="宋体" w:hAnsi="??_GB2312" w:cs="宋体"/>
          <w:b/>
          <w:bCs/>
          <w:kern w:val="0"/>
          <w:sz w:val="32"/>
          <w:szCs w:val="32"/>
          <w:lang w:val="zh-CN"/>
        </w:rPr>
        <w:t>www.fjcqjy.com</w:t>
      </w:r>
      <w:r>
        <w:rPr>
          <w:rFonts w:hint="eastAsia" w:ascii="宋体" w:hAnsi="??_GB2312" w:cs="宋体"/>
          <w:b/>
          <w:bCs/>
          <w:kern w:val="0"/>
          <w:sz w:val="32"/>
          <w:szCs w:val="32"/>
          <w:lang w:val="zh-CN"/>
        </w:rPr>
        <w:fldChar w:fldCharType="end"/>
      </w:r>
    </w:p>
    <w:p w14:paraId="16EFECDB">
      <w:pPr>
        <w:rPr>
          <w:rFonts w:ascii="宋体" w:hAnsi="宋体" w:eastAsia="宋体" w:cs="Times New Roman"/>
          <w:b/>
          <w:bCs/>
          <w:sz w:val="28"/>
          <w:szCs w:val="28"/>
        </w:rPr>
      </w:pPr>
    </w:p>
    <w:p w14:paraId="7011C195">
      <w:pPr>
        <w:rPr>
          <w:rFonts w:ascii="宋体" w:hAnsi="宋体" w:eastAsia="宋体" w:cs="Times New Roman"/>
          <w:b/>
          <w:bCs/>
          <w:sz w:val="28"/>
          <w:szCs w:val="28"/>
        </w:rPr>
      </w:pPr>
      <w:r>
        <w:rPr>
          <w:rFonts w:ascii="宋体" w:hAnsi="宋体" w:eastAsia="宋体" w:cs="Times New Roman"/>
          <w:b/>
          <w:bCs/>
          <w:sz w:val="28"/>
          <w:szCs w:val="28"/>
        </w:rPr>
        <w:br w:type="page"/>
      </w:r>
    </w:p>
    <w:p w14:paraId="5CCABDFC">
      <w:pPr>
        <w:spacing w:line="540" w:lineRule="exact"/>
        <w:ind w:firstLine="562" w:firstLineChars="200"/>
        <w:jc w:val="center"/>
        <w:rPr>
          <w:rFonts w:ascii="宋体" w:hAnsi="宋体" w:eastAsia="宋体" w:cs="Times New Roman"/>
          <w:b/>
          <w:bCs/>
          <w:sz w:val="28"/>
          <w:szCs w:val="28"/>
        </w:rPr>
      </w:pPr>
      <w:r>
        <w:rPr>
          <w:rFonts w:ascii="宋体" w:hAnsi="宋体" w:eastAsia="宋体" w:cs="Times New Roman"/>
          <w:b/>
          <w:bCs/>
          <w:sz w:val="28"/>
          <w:szCs w:val="28"/>
        </w:rPr>
        <w:t>总  则</w:t>
      </w:r>
    </w:p>
    <w:p w14:paraId="21EE962E">
      <w:pPr>
        <w:spacing w:line="540" w:lineRule="exact"/>
        <w:ind w:firstLine="562" w:firstLineChars="200"/>
        <w:jc w:val="left"/>
        <w:rPr>
          <w:rFonts w:ascii="宋体" w:hAnsi="宋体" w:eastAsia="宋体" w:cs="Times New Roman"/>
          <w:b/>
          <w:bCs/>
          <w:sz w:val="28"/>
          <w:szCs w:val="28"/>
        </w:rPr>
      </w:pPr>
      <w:r>
        <w:rPr>
          <w:rFonts w:ascii="宋体" w:hAnsi="宋体" w:eastAsia="宋体" w:cs="Times New Roman"/>
          <w:b/>
          <w:bCs/>
          <w:sz w:val="28"/>
          <w:szCs w:val="28"/>
        </w:rPr>
        <w:t>在参与项目交易竞价前，</w:t>
      </w:r>
      <w:r>
        <w:rPr>
          <w:rFonts w:hint="eastAsia" w:ascii="宋体" w:hAnsi="宋体" w:eastAsia="宋体" w:cs="Times New Roman"/>
          <w:b/>
          <w:bCs/>
          <w:sz w:val="28"/>
          <w:szCs w:val="28"/>
        </w:rPr>
        <w:t>意向受让方</w:t>
      </w:r>
      <w:r>
        <w:rPr>
          <w:rFonts w:ascii="宋体" w:hAnsi="宋体" w:eastAsia="宋体" w:cs="Times New Roman"/>
          <w:b/>
          <w:bCs/>
          <w:sz w:val="28"/>
          <w:szCs w:val="28"/>
        </w:rPr>
        <w:t>（受让方）应当认真阅读本竞价须知及相关附件的全部内容。请</w:t>
      </w:r>
      <w:r>
        <w:rPr>
          <w:rFonts w:hint="eastAsia" w:ascii="宋体" w:hAnsi="宋体" w:eastAsia="宋体" w:cs="Times New Roman"/>
          <w:b/>
          <w:bCs/>
          <w:sz w:val="28"/>
          <w:szCs w:val="28"/>
        </w:rPr>
        <w:t>意向受让方</w:t>
      </w:r>
      <w:r>
        <w:rPr>
          <w:rFonts w:ascii="宋体" w:hAnsi="宋体" w:eastAsia="宋体" w:cs="Times New Roman"/>
          <w:b/>
          <w:bCs/>
          <w:sz w:val="28"/>
          <w:szCs w:val="28"/>
        </w:rPr>
        <w:t>（受让方）务必审慎阅读、充分理解本竞价须知及相关附件中全部条款内容，尤其是:</w:t>
      </w:r>
    </w:p>
    <w:p w14:paraId="1B205260">
      <w:pPr>
        <w:spacing w:line="540" w:lineRule="exact"/>
        <w:ind w:firstLine="562" w:firstLineChars="200"/>
        <w:jc w:val="left"/>
        <w:rPr>
          <w:rFonts w:ascii="宋体" w:hAnsi="宋体" w:eastAsia="宋体" w:cs="Times New Roman"/>
          <w:b/>
          <w:bCs/>
          <w:sz w:val="28"/>
          <w:szCs w:val="28"/>
        </w:rPr>
      </w:pPr>
      <w:r>
        <w:rPr>
          <w:rFonts w:ascii="宋体" w:hAnsi="宋体" w:eastAsia="宋体" w:cs="Times New Roman"/>
          <w:b/>
          <w:bCs/>
          <w:sz w:val="28"/>
          <w:szCs w:val="28"/>
        </w:rPr>
        <w:t>1、与</w:t>
      </w:r>
      <w:r>
        <w:rPr>
          <w:rFonts w:hint="eastAsia" w:ascii="宋体" w:hAnsi="宋体" w:eastAsia="宋体" w:cs="Times New Roman"/>
          <w:b/>
          <w:bCs/>
          <w:sz w:val="28"/>
          <w:szCs w:val="28"/>
        </w:rPr>
        <w:t>意向受让方</w:t>
      </w:r>
      <w:r>
        <w:rPr>
          <w:rFonts w:ascii="宋体" w:hAnsi="宋体" w:eastAsia="宋体" w:cs="Times New Roman"/>
          <w:b/>
          <w:bCs/>
          <w:sz w:val="28"/>
          <w:szCs w:val="28"/>
        </w:rPr>
        <w:t>（受让方）约定免除或限制责任的条款；</w:t>
      </w:r>
    </w:p>
    <w:p w14:paraId="48DFFC5A">
      <w:pPr>
        <w:spacing w:line="540" w:lineRule="exact"/>
        <w:ind w:firstLine="562" w:firstLineChars="200"/>
        <w:jc w:val="left"/>
        <w:rPr>
          <w:rFonts w:ascii="宋体" w:hAnsi="宋体" w:eastAsia="宋体" w:cs="Times New Roman"/>
          <w:b/>
          <w:bCs/>
          <w:sz w:val="28"/>
          <w:szCs w:val="28"/>
        </w:rPr>
      </w:pPr>
      <w:r>
        <w:rPr>
          <w:rFonts w:ascii="宋体" w:hAnsi="宋体" w:eastAsia="宋体" w:cs="Times New Roman"/>
          <w:b/>
          <w:bCs/>
          <w:sz w:val="28"/>
          <w:szCs w:val="28"/>
        </w:rPr>
        <w:t>2、与</w:t>
      </w:r>
      <w:r>
        <w:rPr>
          <w:rFonts w:hint="eastAsia" w:ascii="宋体" w:hAnsi="宋体" w:eastAsia="宋体" w:cs="Times New Roman"/>
          <w:b/>
          <w:bCs/>
          <w:sz w:val="28"/>
          <w:szCs w:val="28"/>
        </w:rPr>
        <w:t>意向受让方</w:t>
      </w:r>
      <w:r>
        <w:rPr>
          <w:rFonts w:ascii="宋体" w:hAnsi="宋体" w:eastAsia="宋体" w:cs="Times New Roman"/>
          <w:b/>
          <w:bCs/>
          <w:sz w:val="28"/>
          <w:szCs w:val="28"/>
        </w:rPr>
        <w:t>（受让方）约定法律适用和管辖的条款；</w:t>
      </w:r>
    </w:p>
    <w:p w14:paraId="7A57B8B0">
      <w:pPr>
        <w:spacing w:line="540" w:lineRule="exact"/>
        <w:ind w:firstLine="562" w:firstLineChars="200"/>
        <w:jc w:val="left"/>
        <w:rPr>
          <w:rFonts w:ascii="宋体" w:hAnsi="宋体" w:eastAsia="宋体" w:cs="Times New Roman"/>
          <w:b/>
          <w:bCs/>
          <w:sz w:val="28"/>
          <w:szCs w:val="28"/>
        </w:rPr>
      </w:pPr>
      <w:r>
        <w:rPr>
          <w:rFonts w:ascii="宋体" w:hAnsi="宋体" w:eastAsia="宋体" w:cs="Times New Roman"/>
          <w:b/>
          <w:bCs/>
          <w:sz w:val="28"/>
          <w:szCs w:val="28"/>
        </w:rPr>
        <w:t>3、其他以黑体、加粗、下划线或斜体等方式显著标识的条款;</w:t>
      </w:r>
    </w:p>
    <w:p w14:paraId="430862D1">
      <w:pPr>
        <w:spacing w:line="540" w:lineRule="exact"/>
        <w:ind w:firstLine="562" w:firstLineChars="200"/>
        <w:jc w:val="left"/>
        <w:rPr>
          <w:rFonts w:ascii="宋体" w:hAnsi="宋体" w:eastAsia="宋体" w:cs="Times New Roman"/>
          <w:b/>
          <w:bCs/>
          <w:sz w:val="28"/>
          <w:szCs w:val="28"/>
        </w:rPr>
      </w:pPr>
      <w:r>
        <w:rPr>
          <w:rFonts w:ascii="宋体" w:hAnsi="宋体" w:eastAsia="宋体" w:cs="Times New Roman"/>
          <w:b/>
          <w:bCs/>
          <w:sz w:val="28"/>
          <w:szCs w:val="28"/>
        </w:rPr>
        <w:t>4、任何未明确以黑体、加粗、下划线或斜体等方式显著标识，但含有“不承担”、“免除”、“不得”、“应该”、“必须”、“承诺”、“保证”、“无需”、“同意”、“认可”、“确认”等用语的条款。</w:t>
      </w:r>
    </w:p>
    <w:p w14:paraId="646FD05E">
      <w:pPr>
        <w:rPr>
          <w:rFonts w:ascii="Helvetica" w:hAnsi="Helvetica" w:eastAsia="Helvetica" w:cs="Helvetica"/>
          <w:color w:val="606266"/>
          <w:sz w:val="24"/>
          <w:shd w:val="clear" w:color="auto" w:fill="FFFFFF"/>
        </w:rPr>
      </w:pPr>
      <w:r>
        <w:rPr>
          <w:rFonts w:ascii="Helvetica" w:hAnsi="Helvetica" w:eastAsia="Helvetica" w:cs="Helvetica"/>
          <w:color w:val="606266"/>
          <w:sz w:val="24"/>
          <w:shd w:val="clear" w:color="auto" w:fill="FFFFFF"/>
        </w:rPr>
        <w:br w:type="page"/>
      </w:r>
    </w:p>
    <w:p w14:paraId="6E05E5AC">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福建省产权交易中心（以下简称“组织方”）根据《中华人民共和国民法典》</w:t>
      </w:r>
      <w:r>
        <w:rPr>
          <w:rFonts w:hint="eastAsia" w:ascii="宋体" w:hAnsi="宋体" w:eastAsia="宋体" w:cs="宋体"/>
          <w:bCs/>
          <w:sz w:val="28"/>
          <w:szCs w:val="28"/>
        </w:rPr>
        <w:t>《</w:t>
      </w:r>
      <w:r>
        <w:rPr>
          <w:rFonts w:hint="eastAsia" w:ascii="宋体" w:hAnsi="宋体" w:eastAsia="宋体" w:cs="宋体"/>
          <w:bCs/>
          <w:sz w:val="28"/>
          <w:szCs w:val="28"/>
          <w:lang w:eastAsia="zh-CN"/>
        </w:rPr>
        <w:t>邵武市</w:t>
      </w:r>
      <w:r>
        <w:rPr>
          <w:rFonts w:hint="eastAsia" w:ascii="宋体" w:hAnsi="宋体" w:eastAsia="宋体" w:cs="宋体"/>
          <w:bCs/>
          <w:sz w:val="28"/>
          <w:szCs w:val="28"/>
        </w:rPr>
        <w:t>农村产权流转交易管理办法(试行)》</w:t>
      </w:r>
      <w:r>
        <w:rPr>
          <w:rFonts w:ascii="宋体" w:hAnsi="宋体" w:eastAsia="宋体" w:cs="宋体"/>
          <w:bCs/>
          <w:sz w:val="28"/>
          <w:szCs w:val="28"/>
        </w:rPr>
        <w:t>等有关法律、法规和规范性文件的规定，遵循公开、公平、公正和诚实信用的原则，特制定本《竞价须知》。本项目出让方已按规定履行了内部审议程序。</w:t>
      </w:r>
      <w:r>
        <w:rPr>
          <w:rFonts w:hint="eastAsia" w:ascii="宋体" w:hAnsi="宋体" w:eastAsia="宋体" w:cs="宋体"/>
          <w:bCs/>
          <w:sz w:val="28"/>
          <w:szCs w:val="28"/>
        </w:rPr>
        <w:t>意向受让方</w:t>
      </w:r>
      <w:r>
        <w:rPr>
          <w:rFonts w:ascii="宋体" w:hAnsi="宋体" w:eastAsia="宋体" w:cs="宋体"/>
          <w:bCs/>
          <w:sz w:val="28"/>
          <w:szCs w:val="28"/>
        </w:rPr>
        <w:t>必须仔细阅读以下条款，并对自己在竞价活动中的行为负责。</w:t>
      </w:r>
    </w:p>
    <w:p w14:paraId="001C3929">
      <w:pPr>
        <w:numPr>
          <w:ilvl w:val="255"/>
          <w:numId w:val="0"/>
        </w:numPr>
        <w:spacing w:line="500" w:lineRule="exact"/>
        <w:rPr>
          <w:rFonts w:ascii="宋体" w:hAnsi="宋体" w:eastAsia="宋体" w:cs="Times New Roman"/>
          <w:b/>
          <w:sz w:val="28"/>
          <w:szCs w:val="28"/>
        </w:rPr>
      </w:pPr>
      <w:r>
        <w:rPr>
          <w:rFonts w:ascii="宋体" w:hAnsi="宋体" w:eastAsia="宋体" w:cs="Times New Roman"/>
          <w:b/>
          <w:sz w:val="28"/>
          <w:szCs w:val="28"/>
        </w:rPr>
        <w:t>一、项目信息</w:t>
      </w:r>
    </w:p>
    <w:tbl>
      <w:tblPr>
        <w:tblStyle w:val="8"/>
        <w:tblW w:w="0" w:type="auto"/>
        <w:jc w:val="center"/>
        <w:tblLayout w:type="fixed"/>
        <w:tblCellMar>
          <w:top w:w="0" w:type="dxa"/>
          <w:left w:w="108" w:type="dxa"/>
          <w:bottom w:w="0" w:type="dxa"/>
          <w:right w:w="108" w:type="dxa"/>
        </w:tblCellMar>
      </w:tblPr>
      <w:tblGrid>
        <w:gridCol w:w="1021"/>
        <w:gridCol w:w="1845"/>
        <w:gridCol w:w="1109"/>
        <w:gridCol w:w="1095"/>
        <w:gridCol w:w="1095"/>
        <w:gridCol w:w="1342"/>
        <w:gridCol w:w="1435"/>
      </w:tblGrid>
      <w:tr w14:paraId="6A98398F">
        <w:tblPrEx>
          <w:tblCellMar>
            <w:top w:w="0" w:type="dxa"/>
            <w:left w:w="108" w:type="dxa"/>
            <w:bottom w:w="0" w:type="dxa"/>
            <w:right w:w="108" w:type="dxa"/>
          </w:tblCellMar>
        </w:tblPrEx>
        <w:trPr>
          <w:trHeight w:val="759" w:hRule="atLeast"/>
          <w:jc w:val="center"/>
        </w:trPr>
        <w:tc>
          <w:tcPr>
            <w:tcW w:w="1021" w:type="dxa"/>
            <w:tcBorders>
              <w:top w:val="single" w:color="000000" w:sz="8" w:space="0"/>
              <w:left w:val="single" w:color="000000" w:sz="8" w:space="0"/>
              <w:bottom w:val="single" w:color="000000" w:sz="8" w:space="0"/>
              <w:right w:val="single" w:color="000000" w:sz="8" w:space="0"/>
            </w:tcBorders>
            <w:noWrap/>
            <w:vAlign w:val="center"/>
          </w:tcPr>
          <w:p w14:paraId="517F5F77">
            <w:pPr>
              <w:widowControl/>
              <w:jc w:val="center"/>
              <w:rPr>
                <w:rFonts w:ascii="宋体" w:hAnsi="宋体" w:eastAsia="宋体" w:cs="宋体"/>
                <w:sz w:val="24"/>
              </w:rPr>
            </w:pPr>
            <w:r>
              <w:rPr>
                <w:rFonts w:hint="eastAsia" w:ascii="宋体" w:hAnsi="宋体" w:eastAsia="宋体" w:cs="宋体"/>
                <w:sz w:val="24"/>
              </w:rPr>
              <w:t>地块名称</w:t>
            </w:r>
          </w:p>
        </w:tc>
        <w:tc>
          <w:tcPr>
            <w:tcW w:w="1845" w:type="dxa"/>
            <w:tcBorders>
              <w:top w:val="single" w:color="000000" w:sz="8" w:space="0"/>
              <w:left w:val="single" w:color="000000" w:sz="8" w:space="0"/>
              <w:bottom w:val="single" w:color="000000" w:sz="8" w:space="0"/>
              <w:right w:val="single" w:color="000000" w:sz="8" w:space="0"/>
            </w:tcBorders>
            <w:noWrap/>
            <w:vAlign w:val="center"/>
          </w:tcPr>
          <w:p w14:paraId="17726F74">
            <w:pPr>
              <w:widowControl/>
              <w:jc w:val="center"/>
              <w:rPr>
                <w:rFonts w:ascii="宋体" w:hAnsi="宋体" w:eastAsia="宋体" w:cs="宋体"/>
                <w:sz w:val="24"/>
              </w:rPr>
            </w:pPr>
            <w:r>
              <w:rPr>
                <w:rFonts w:hint="eastAsia" w:ascii="宋体" w:hAnsi="宋体" w:eastAsia="宋体" w:cs="宋体"/>
                <w:sz w:val="24"/>
              </w:rPr>
              <w:t>四至</w:t>
            </w:r>
          </w:p>
        </w:tc>
        <w:tc>
          <w:tcPr>
            <w:tcW w:w="1109" w:type="dxa"/>
            <w:tcBorders>
              <w:top w:val="single" w:color="000000" w:sz="8" w:space="0"/>
              <w:left w:val="single" w:color="000000" w:sz="8" w:space="0"/>
              <w:bottom w:val="single" w:color="000000" w:sz="8" w:space="0"/>
              <w:right w:val="single" w:color="000000" w:sz="8" w:space="0"/>
            </w:tcBorders>
            <w:noWrap/>
            <w:vAlign w:val="center"/>
          </w:tcPr>
          <w:p w14:paraId="4CCE845B">
            <w:pPr>
              <w:widowControl/>
              <w:jc w:val="center"/>
              <w:rPr>
                <w:rFonts w:ascii="宋体" w:hAnsi="宋体" w:eastAsia="宋体" w:cs="宋体"/>
                <w:sz w:val="24"/>
              </w:rPr>
            </w:pPr>
            <w:r>
              <w:rPr>
                <w:rFonts w:hint="eastAsia" w:ascii="宋体" w:hAnsi="宋体" w:eastAsia="宋体" w:cs="宋体"/>
                <w:sz w:val="24"/>
              </w:rPr>
              <w:t>林班号</w:t>
            </w:r>
          </w:p>
        </w:tc>
        <w:tc>
          <w:tcPr>
            <w:tcW w:w="1095" w:type="dxa"/>
            <w:tcBorders>
              <w:top w:val="single" w:color="000000" w:sz="8" w:space="0"/>
              <w:left w:val="single" w:color="000000" w:sz="8" w:space="0"/>
              <w:bottom w:val="single" w:color="000000" w:sz="8" w:space="0"/>
              <w:right w:val="single" w:color="000000" w:sz="8" w:space="0"/>
            </w:tcBorders>
            <w:noWrap/>
            <w:vAlign w:val="center"/>
          </w:tcPr>
          <w:p w14:paraId="22B041B5">
            <w:pPr>
              <w:widowControl/>
              <w:jc w:val="center"/>
              <w:rPr>
                <w:rFonts w:ascii="宋体" w:hAnsi="宋体" w:eastAsia="宋体" w:cs="宋体"/>
                <w:sz w:val="24"/>
              </w:rPr>
            </w:pPr>
            <w:r>
              <w:rPr>
                <w:rFonts w:hint="eastAsia" w:ascii="宋体" w:hAnsi="宋体" w:eastAsia="宋体" w:cs="宋体"/>
                <w:sz w:val="24"/>
              </w:rPr>
              <w:t>大班号</w:t>
            </w:r>
          </w:p>
        </w:tc>
        <w:tc>
          <w:tcPr>
            <w:tcW w:w="1095" w:type="dxa"/>
            <w:tcBorders>
              <w:top w:val="single" w:color="000000" w:sz="8" w:space="0"/>
              <w:left w:val="single" w:color="000000" w:sz="8" w:space="0"/>
              <w:bottom w:val="single" w:color="000000" w:sz="8" w:space="0"/>
              <w:right w:val="single" w:color="000000" w:sz="8" w:space="0"/>
            </w:tcBorders>
            <w:noWrap/>
            <w:vAlign w:val="center"/>
          </w:tcPr>
          <w:p w14:paraId="1FABB522">
            <w:pPr>
              <w:widowControl/>
              <w:jc w:val="center"/>
              <w:rPr>
                <w:rFonts w:ascii="宋体" w:hAnsi="宋体" w:eastAsia="宋体" w:cs="宋体"/>
                <w:sz w:val="24"/>
              </w:rPr>
            </w:pPr>
            <w:r>
              <w:rPr>
                <w:rFonts w:hint="eastAsia" w:ascii="宋体" w:hAnsi="宋体" w:eastAsia="宋体" w:cs="宋体"/>
                <w:sz w:val="24"/>
              </w:rPr>
              <w:t>小班号</w:t>
            </w:r>
          </w:p>
        </w:tc>
        <w:tc>
          <w:tcPr>
            <w:tcW w:w="1342" w:type="dxa"/>
            <w:tcBorders>
              <w:top w:val="single" w:color="000000" w:sz="8" w:space="0"/>
              <w:left w:val="single" w:color="000000" w:sz="8" w:space="0"/>
              <w:bottom w:val="single" w:color="000000" w:sz="8" w:space="0"/>
              <w:right w:val="single" w:color="000000" w:sz="8" w:space="0"/>
            </w:tcBorders>
            <w:noWrap/>
            <w:vAlign w:val="center"/>
          </w:tcPr>
          <w:p w14:paraId="3A7858A5">
            <w:pPr>
              <w:widowControl/>
              <w:jc w:val="center"/>
              <w:rPr>
                <w:rFonts w:ascii="宋体" w:hAnsi="宋体" w:eastAsia="宋体" w:cs="宋体"/>
                <w:sz w:val="24"/>
              </w:rPr>
            </w:pPr>
            <w:r>
              <w:rPr>
                <w:rFonts w:hint="eastAsia" w:ascii="宋体" w:hAnsi="宋体" w:eastAsia="宋体" w:cs="宋体"/>
                <w:sz w:val="24"/>
              </w:rPr>
              <w:t>林地面积（亩）</w:t>
            </w:r>
          </w:p>
        </w:tc>
        <w:tc>
          <w:tcPr>
            <w:tcW w:w="1435" w:type="dxa"/>
            <w:tcBorders>
              <w:top w:val="single" w:color="000000" w:sz="8" w:space="0"/>
              <w:left w:val="single" w:color="000000" w:sz="8" w:space="0"/>
              <w:bottom w:val="single" w:color="000000" w:sz="8" w:space="0"/>
              <w:right w:val="single" w:color="000000" w:sz="8" w:space="0"/>
            </w:tcBorders>
            <w:noWrap/>
            <w:vAlign w:val="center"/>
          </w:tcPr>
          <w:p w14:paraId="39DB1A06">
            <w:pPr>
              <w:widowControl/>
              <w:jc w:val="center"/>
              <w:rPr>
                <w:rFonts w:ascii="宋体" w:hAnsi="宋体" w:eastAsia="宋体" w:cs="宋体"/>
                <w:sz w:val="24"/>
              </w:rPr>
            </w:pPr>
            <w:r>
              <w:rPr>
                <w:rFonts w:hint="eastAsia" w:ascii="宋体" w:hAnsi="宋体" w:eastAsia="宋体" w:cs="宋体"/>
                <w:sz w:val="24"/>
              </w:rPr>
              <w:t>本次出让面积（亩）</w:t>
            </w:r>
          </w:p>
        </w:tc>
      </w:tr>
      <w:tr w14:paraId="79CF5ED3">
        <w:tblPrEx>
          <w:tblCellMar>
            <w:top w:w="0" w:type="dxa"/>
            <w:left w:w="108" w:type="dxa"/>
            <w:bottom w:w="0" w:type="dxa"/>
            <w:right w:w="108" w:type="dxa"/>
          </w:tblCellMar>
        </w:tblPrEx>
        <w:trPr>
          <w:trHeight w:val="1360" w:hRule="atLeast"/>
          <w:jc w:val="center"/>
        </w:trPr>
        <w:tc>
          <w:tcPr>
            <w:tcW w:w="1021" w:type="dxa"/>
            <w:tcBorders>
              <w:top w:val="nil"/>
              <w:left w:val="single" w:color="000000" w:sz="8" w:space="0"/>
              <w:bottom w:val="single" w:color="000000" w:sz="8" w:space="0"/>
              <w:right w:val="single" w:color="000000" w:sz="8" w:space="0"/>
            </w:tcBorders>
            <w:noWrap/>
            <w:vAlign w:val="center"/>
          </w:tcPr>
          <w:p w14:paraId="00831B71">
            <w:pPr>
              <w:widowControl/>
              <w:jc w:val="center"/>
              <w:rPr>
                <w:rFonts w:hint="eastAsia" w:ascii="宋体" w:hAnsi="宋体" w:eastAsia="宋体" w:cs="宋体"/>
                <w:sz w:val="24"/>
                <w:lang w:eastAsia="zh-CN"/>
              </w:rPr>
            </w:pPr>
            <w:r>
              <w:rPr>
                <w:rFonts w:hint="eastAsia" w:ascii="宋体" w:hAnsi="宋体" w:eastAsia="宋体" w:cs="宋体"/>
                <w:sz w:val="24"/>
                <w:lang w:eastAsia="zh-CN"/>
              </w:rPr>
              <w:t>溪西组新安</w:t>
            </w:r>
            <w:r>
              <w:rPr>
                <w:rFonts w:hint="eastAsia" w:ascii="宋体" w:hAnsi="宋体" w:eastAsia="宋体" w:cs="宋体"/>
                <w:sz w:val="24"/>
                <w:highlight w:val="yellow"/>
                <w:lang w:eastAsia="zh-CN"/>
              </w:rPr>
              <w:t>（外）</w:t>
            </w:r>
          </w:p>
        </w:tc>
        <w:tc>
          <w:tcPr>
            <w:tcW w:w="1845" w:type="dxa"/>
            <w:tcBorders>
              <w:top w:val="nil"/>
              <w:left w:val="single" w:color="000000" w:sz="8" w:space="0"/>
              <w:bottom w:val="single" w:color="000000" w:sz="8" w:space="0"/>
              <w:right w:val="single" w:color="000000" w:sz="8" w:space="0"/>
            </w:tcBorders>
            <w:noWrap/>
            <w:vAlign w:val="center"/>
          </w:tcPr>
          <w:p w14:paraId="31F94D1E">
            <w:pPr>
              <w:widowControl/>
              <w:rPr>
                <w:rFonts w:hint="eastAsia" w:ascii="宋体" w:hAnsi="宋体" w:eastAsia="宋体" w:cs="宋体"/>
                <w:sz w:val="24"/>
                <w:lang w:eastAsia="zh-CN"/>
              </w:rPr>
            </w:pPr>
            <w:r>
              <w:rPr>
                <w:rFonts w:hint="eastAsia" w:ascii="宋体" w:hAnsi="宋体" w:eastAsia="宋体" w:cs="宋体"/>
                <w:sz w:val="24"/>
              </w:rPr>
              <w:t>东：</w:t>
            </w:r>
            <w:r>
              <w:rPr>
                <w:rFonts w:hint="eastAsia" w:ascii="宋体" w:hAnsi="宋体" w:eastAsia="宋体" w:cs="宋体"/>
                <w:sz w:val="24"/>
                <w:lang w:val="en-US" w:eastAsia="zh-CN"/>
              </w:rPr>
              <w:t>221-02-032小班</w:t>
            </w:r>
            <w:r>
              <w:rPr>
                <w:rFonts w:hint="eastAsia" w:ascii="宋体" w:hAnsi="宋体" w:eastAsia="宋体" w:cs="宋体"/>
                <w:sz w:val="24"/>
              </w:rPr>
              <w:t>；南</w:t>
            </w:r>
            <w:r>
              <w:rPr>
                <w:rFonts w:hint="eastAsia" w:ascii="宋体" w:hAnsi="宋体" w:eastAsia="宋体" w:cs="宋体"/>
                <w:sz w:val="24"/>
                <w:lang w:eastAsia="zh-CN"/>
              </w:rPr>
              <w:t>：</w:t>
            </w:r>
            <w:r>
              <w:rPr>
                <w:rFonts w:hint="eastAsia" w:ascii="宋体" w:hAnsi="宋体" w:eastAsia="宋体" w:cs="宋体"/>
                <w:sz w:val="24"/>
                <w:lang w:val="en-US" w:eastAsia="zh-CN"/>
              </w:rPr>
              <w:t>222-02-030</w:t>
            </w:r>
            <w:r>
              <w:rPr>
                <w:rFonts w:hint="eastAsia" w:ascii="宋体" w:hAnsi="宋体" w:eastAsia="宋体" w:cs="宋体"/>
                <w:sz w:val="24"/>
              </w:rPr>
              <w:t>小班；西：</w:t>
            </w:r>
            <w:r>
              <w:rPr>
                <w:rFonts w:hint="eastAsia" w:ascii="宋体" w:hAnsi="宋体" w:eastAsia="宋体" w:cs="宋体"/>
                <w:sz w:val="24"/>
                <w:lang w:val="en-US" w:eastAsia="zh-CN"/>
              </w:rPr>
              <w:t>221-20-020</w:t>
            </w:r>
            <w:r>
              <w:rPr>
                <w:rFonts w:hint="eastAsia" w:ascii="宋体" w:hAnsi="宋体" w:eastAsia="宋体" w:cs="宋体"/>
                <w:sz w:val="24"/>
              </w:rPr>
              <w:t>小班；北：</w:t>
            </w:r>
            <w:r>
              <w:rPr>
                <w:rFonts w:hint="eastAsia" w:ascii="宋体" w:hAnsi="宋体" w:eastAsia="宋体" w:cs="宋体"/>
                <w:sz w:val="24"/>
                <w:lang w:eastAsia="zh-CN"/>
              </w:rPr>
              <w:t>田</w:t>
            </w:r>
          </w:p>
        </w:tc>
        <w:tc>
          <w:tcPr>
            <w:tcW w:w="1109" w:type="dxa"/>
            <w:tcBorders>
              <w:top w:val="nil"/>
              <w:left w:val="single" w:color="000000" w:sz="8" w:space="0"/>
              <w:bottom w:val="single" w:color="000000" w:sz="8" w:space="0"/>
              <w:right w:val="single" w:color="000000" w:sz="8" w:space="0"/>
            </w:tcBorders>
            <w:noWrap/>
            <w:vAlign w:val="center"/>
          </w:tcPr>
          <w:p w14:paraId="28B6099D">
            <w:pPr>
              <w:widowControl/>
              <w:jc w:val="center"/>
              <w:rPr>
                <w:rFonts w:hint="default" w:ascii="宋体" w:hAnsi="宋体" w:eastAsia="宋体" w:cs="宋体"/>
                <w:sz w:val="24"/>
                <w:lang w:val="en-US" w:eastAsia="zh-CN"/>
              </w:rPr>
            </w:pPr>
            <w:r>
              <w:rPr>
                <w:rFonts w:hint="eastAsia" w:ascii="宋体" w:hAnsi="宋体" w:eastAsia="宋体" w:cs="宋体"/>
                <w:sz w:val="24"/>
                <w:lang w:val="en-US" w:eastAsia="zh-CN"/>
              </w:rPr>
              <w:t>221</w:t>
            </w:r>
          </w:p>
        </w:tc>
        <w:tc>
          <w:tcPr>
            <w:tcW w:w="1095" w:type="dxa"/>
            <w:tcBorders>
              <w:top w:val="nil"/>
              <w:left w:val="single" w:color="000000" w:sz="8" w:space="0"/>
              <w:bottom w:val="single" w:color="000000" w:sz="8" w:space="0"/>
              <w:right w:val="single" w:color="000000" w:sz="8" w:space="0"/>
            </w:tcBorders>
            <w:noWrap/>
            <w:vAlign w:val="center"/>
          </w:tcPr>
          <w:p w14:paraId="774F064A">
            <w:pPr>
              <w:widowControl/>
              <w:jc w:val="center"/>
              <w:rPr>
                <w:rFonts w:hint="default" w:ascii="宋体" w:hAnsi="宋体" w:eastAsia="宋体" w:cs="宋体"/>
                <w:sz w:val="24"/>
                <w:lang w:val="en-US" w:eastAsia="zh-CN"/>
              </w:rPr>
            </w:pPr>
            <w:r>
              <w:rPr>
                <w:rFonts w:hint="eastAsia" w:ascii="宋体" w:hAnsi="宋体" w:eastAsia="宋体" w:cs="宋体"/>
                <w:sz w:val="24"/>
                <w:lang w:val="en-US" w:eastAsia="zh-CN"/>
              </w:rPr>
              <w:t>20</w:t>
            </w:r>
          </w:p>
        </w:tc>
        <w:tc>
          <w:tcPr>
            <w:tcW w:w="1095" w:type="dxa"/>
            <w:tcBorders>
              <w:top w:val="nil"/>
              <w:left w:val="single" w:color="000000" w:sz="8" w:space="0"/>
              <w:bottom w:val="single" w:color="000000" w:sz="8" w:space="0"/>
              <w:right w:val="single" w:color="000000" w:sz="8" w:space="0"/>
            </w:tcBorders>
            <w:noWrap/>
            <w:vAlign w:val="center"/>
          </w:tcPr>
          <w:p w14:paraId="531A087A">
            <w:pPr>
              <w:widowControl/>
              <w:jc w:val="center"/>
              <w:textAlignment w:val="center"/>
              <w:rPr>
                <w:rFonts w:hint="eastAsia" w:ascii="宋体" w:hAnsi="宋体" w:cs="宋体"/>
                <w:color w:val="000000"/>
                <w:sz w:val="18"/>
                <w:szCs w:val="18"/>
              </w:rPr>
            </w:pPr>
          </w:p>
          <w:p w14:paraId="021E8574">
            <w:pPr>
              <w:widowControl/>
              <w:jc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030（1）</w:t>
            </w:r>
          </w:p>
          <w:p w14:paraId="0984957A">
            <w:pPr>
              <w:widowControl/>
              <w:jc w:val="both"/>
              <w:rPr>
                <w:rFonts w:hint="default" w:ascii="宋体" w:hAnsi="宋体" w:cs="宋体"/>
                <w:color w:val="000000"/>
                <w:sz w:val="18"/>
                <w:szCs w:val="18"/>
                <w:lang w:val="en-US" w:eastAsia="zh-CN"/>
              </w:rPr>
            </w:pPr>
          </w:p>
        </w:tc>
        <w:tc>
          <w:tcPr>
            <w:tcW w:w="1342" w:type="dxa"/>
            <w:tcBorders>
              <w:top w:val="nil"/>
              <w:left w:val="single" w:color="000000" w:sz="8" w:space="0"/>
              <w:bottom w:val="single" w:color="000000" w:sz="8" w:space="0"/>
              <w:right w:val="single" w:color="000000" w:sz="8" w:space="0"/>
            </w:tcBorders>
            <w:noWrap/>
            <w:vAlign w:val="center"/>
          </w:tcPr>
          <w:p w14:paraId="28759B9D">
            <w:pPr>
              <w:widowControl/>
              <w:jc w:val="both"/>
              <w:rPr>
                <w:rFonts w:hint="default" w:ascii="宋体" w:hAnsi="宋体" w:eastAsia="宋体" w:cs="宋体"/>
                <w:sz w:val="24"/>
                <w:lang w:val="en-US" w:eastAsia="zh-CN"/>
              </w:rPr>
            </w:pPr>
            <w:r>
              <w:rPr>
                <w:rFonts w:hint="eastAsia" w:ascii="宋体" w:hAnsi="宋体" w:eastAsia="宋体" w:cs="宋体"/>
                <w:sz w:val="24"/>
                <w:lang w:val="en-US" w:eastAsia="zh-CN"/>
              </w:rPr>
              <w:t>178.5</w:t>
            </w:r>
          </w:p>
        </w:tc>
        <w:tc>
          <w:tcPr>
            <w:tcW w:w="1435" w:type="dxa"/>
            <w:tcBorders>
              <w:top w:val="nil"/>
              <w:left w:val="single" w:color="000000" w:sz="8" w:space="0"/>
              <w:bottom w:val="single" w:color="000000" w:sz="8" w:space="0"/>
              <w:right w:val="single" w:color="000000" w:sz="8" w:space="0"/>
            </w:tcBorders>
            <w:noWrap/>
            <w:vAlign w:val="center"/>
          </w:tcPr>
          <w:p w14:paraId="42559DCB">
            <w:pPr>
              <w:widowControl/>
              <w:jc w:val="both"/>
              <w:rPr>
                <w:rFonts w:hint="default" w:ascii="宋体" w:hAnsi="宋体" w:eastAsia="宋体" w:cs="宋体"/>
                <w:sz w:val="24"/>
                <w:lang w:val="en-US" w:eastAsia="zh-CN"/>
              </w:rPr>
            </w:pPr>
            <w:r>
              <w:rPr>
                <w:rFonts w:hint="eastAsia" w:ascii="宋体" w:hAnsi="宋体" w:eastAsia="宋体" w:cs="宋体"/>
                <w:sz w:val="24"/>
                <w:lang w:val="en-US" w:eastAsia="zh-CN"/>
              </w:rPr>
              <w:t>178.5</w:t>
            </w:r>
          </w:p>
        </w:tc>
      </w:tr>
    </w:tbl>
    <w:p w14:paraId="35E94B3B">
      <w:pPr>
        <w:widowControl/>
        <w:numPr>
          <w:ilvl w:val="255"/>
          <w:numId w:val="0"/>
        </w:numPr>
        <w:ind w:firstLine="562" w:firstLineChars="200"/>
        <w:rPr>
          <w:rFonts w:ascii="宋体" w:hAnsi="宋体" w:eastAsia="宋体" w:cs="Times New Roman"/>
          <w:b/>
          <w:bCs/>
          <w:sz w:val="28"/>
          <w:szCs w:val="28"/>
        </w:rPr>
      </w:pPr>
      <w:r>
        <w:rPr>
          <w:rFonts w:hint="eastAsia" w:ascii="宋体" w:hAnsi="宋体" w:eastAsia="宋体" w:cs="宋体"/>
          <w:b/>
          <w:bCs/>
          <w:sz w:val="28"/>
          <w:szCs w:val="28"/>
        </w:rPr>
        <w:t>现状提示：</w:t>
      </w:r>
      <w:r>
        <w:rPr>
          <w:rFonts w:hint="eastAsia" w:ascii="宋体" w:hAnsi="宋体" w:eastAsia="宋体" w:cs="Times New Roman"/>
          <w:b/>
          <w:bCs/>
          <w:sz w:val="28"/>
          <w:szCs w:val="28"/>
        </w:rPr>
        <w:t>本次出让地块总面积为</w:t>
      </w:r>
      <w:r>
        <w:rPr>
          <w:rFonts w:hint="eastAsia" w:ascii="宋体" w:hAnsi="宋体" w:eastAsia="宋体" w:cs="Times New Roman"/>
          <w:b/>
          <w:bCs/>
          <w:sz w:val="28"/>
          <w:szCs w:val="28"/>
          <w:lang w:val="en-US" w:eastAsia="zh-CN"/>
        </w:rPr>
        <w:t>178.5</w:t>
      </w:r>
      <w:r>
        <w:rPr>
          <w:rFonts w:hint="eastAsia" w:ascii="宋体" w:hAnsi="宋体" w:eastAsia="宋体" w:cs="Times New Roman"/>
          <w:b/>
          <w:bCs/>
          <w:sz w:val="28"/>
          <w:szCs w:val="28"/>
        </w:rPr>
        <w:t>亩，若实测面积不足或超过，成交价不予调整。若在看样期至标的移交日期间现场发生变化，最终解释权归出让方所有，组织方不对现场状况进行保证及现场状况变化作出解释，亦不承担任何法律责任。</w:t>
      </w:r>
    </w:p>
    <w:p w14:paraId="1E910C1F">
      <w:pPr>
        <w:rPr>
          <w:rFonts w:ascii="宋体" w:hAnsi="宋体" w:eastAsia="宋体" w:cs="宋体"/>
          <w:sz w:val="28"/>
          <w:szCs w:val="28"/>
        </w:rPr>
      </w:pPr>
      <w:r>
        <w:rPr>
          <w:rFonts w:hint="eastAsia" w:ascii="宋体" w:hAnsi="宋体" w:cs="宋体"/>
          <w:b/>
          <w:bCs/>
          <w:sz w:val="28"/>
          <w:szCs w:val="28"/>
        </w:rPr>
        <w:t>二、挂牌价：</w:t>
      </w:r>
      <w:r>
        <w:rPr>
          <w:rFonts w:hint="eastAsia" w:ascii="宋体" w:hAnsi="宋体" w:cs="宋体"/>
          <w:sz w:val="28"/>
          <w:szCs w:val="28"/>
        </w:rPr>
        <w:t>人</w:t>
      </w:r>
      <w:r>
        <w:rPr>
          <w:rFonts w:hint="eastAsia" w:ascii="宋体" w:hAnsi="宋体" w:eastAsia="宋体" w:cs="宋体"/>
          <w:sz w:val="28"/>
          <w:szCs w:val="28"/>
        </w:rPr>
        <w:t>民币</w:t>
      </w:r>
      <w:r>
        <w:rPr>
          <w:rFonts w:hint="eastAsia" w:ascii="宋体" w:hAnsi="宋体" w:eastAsia="宋体" w:cs="宋体"/>
          <w:sz w:val="28"/>
          <w:szCs w:val="28"/>
          <w:lang w:val="en-US" w:eastAsia="zh-CN"/>
        </w:rPr>
        <w:t>178500</w:t>
      </w:r>
      <w:r>
        <w:rPr>
          <w:rFonts w:hint="eastAsia" w:ascii="宋体" w:hAnsi="宋体" w:eastAsia="宋体" w:cs="宋体"/>
          <w:sz w:val="28"/>
          <w:szCs w:val="28"/>
        </w:rPr>
        <w:t>元。</w:t>
      </w:r>
    </w:p>
    <w:p w14:paraId="28B5C4D6">
      <w:pPr>
        <w:rPr>
          <w:rFonts w:ascii="宋体" w:hAnsi="宋体" w:eastAsia="宋体" w:cs="宋体"/>
          <w:b/>
          <w:bCs/>
          <w:sz w:val="28"/>
          <w:szCs w:val="28"/>
        </w:rPr>
      </w:pPr>
      <w:r>
        <w:rPr>
          <w:rFonts w:hint="eastAsia" w:ascii="宋体" w:hAnsi="宋体" w:eastAsia="宋体" w:cs="宋体"/>
          <w:b/>
          <w:bCs/>
          <w:sz w:val="28"/>
          <w:szCs w:val="28"/>
        </w:rPr>
        <w:t>三、竞价保证金：</w:t>
      </w:r>
      <w:r>
        <w:rPr>
          <w:rFonts w:hint="eastAsia" w:ascii="宋体" w:hAnsi="宋体" w:eastAsia="宋体" w:cs="宋体"/>
          <w:b w:val="0"/>
          <w:bCs w:val="0"/>
          <w:sz w:val="28"/>
          <w:szCs w:val="28"/>
          <w:lang w:val="en-US" w:eastAsia="zh-CN"/>
        </w:rPr>
        <w:t>10</w:t>
      </w:r>
      <w:r>
        <w:rPr>
          <w:rFonts w:hint="eastAsia" w:ascii="宋体" w:hAnsi="宋体" w:eastAsia="宋体" w:cs="宋体"/>
          <w:sz w:val="28"/>
          <w:szCs w:val="28"/>
        </w:rPr>
        <w:t>000元。</w:t>
      </w:r>
    </w:p>
    <w:p w14:paraId="0672119F">
      <w:pPr>
        <w:widowControl/>
        <w:rPr>
          <w:rFonts w:ascii="宋体" w:hAnsi="宋体" w:eastAsia="宋体" w:cs="Times New Roman"/>
          <w:b/>
          <w:sz w:val="28"/>
          <w:szCs w:val="28"/>
        </w:rPr>
      </w:pPr>
      <w:r>
        <w:rPr>
          <w:rFonts w:hint="eastAsia" w:ascii="宋体" w:hAnsi="宋体" w:eastAsia="宋体" w:cs="Times New Roman"/>
          <w:b/>
          <w:sz w:val="28"/>
          <w:szCs w:val="28"/>
        </w:rPr>
        <w:t>四</w:t>
      </w:r>
      <w:r>
        <w:rPr>
          <w:rFonts w:ascii="宋体" w:hAnsi="宋体" w:eastAsia="宋体" w:cs="Times New Roman"/>
          <w:b/>
          <w:sz w:val="28"/>
          <w:szCs w:val="28"/>
        </w:rPr>
        <w:t>、受让方应具备的资格条件</w:t>
      </w:r>
    </w:p>
    <w:p w14:paraId="26A21DDB">
      <w:pPr>
        <w:widowControl/>
        <w:spacing w:line="500" w:lineRule="exact"/>
        <w:ind w:firstLine="560" w:firstLineChars="200"/>
        <w:rPr>
          <w:rFonts w:ascii="宋体" w:hAnsi="宋体" w:eastAsia="宋体" w:cs="宋体"/>
          <w:sz w:val="28"/>
          <w:szCs w:val="28"/>
        </w:rPr>
      </w:pPr>
      <w:r>
        <w:rPr>
          <w:rFonts w:hint="eastAsia" w:ascii="宋体" w:hAnsi="宋体" w:eastAsia="宋体" w:cs="宋体"/>
          <w:sz w:val="28"/>
          <w:szCs w:val="28"/>
        </w:rPr>
        <w:t>1、合法设立并有效存续的法人、非法人组织或具有完全民事行为能力的自然人；</w:t>
      </w:r>
    </w:p>
    <w:p w14:paraId="5A4CB129">
      <w:pPr>
        <w:widowControl/>
        <w:spacing w:line="500" w:lineRule="exact"/>
        <w:ind w:firstLine="560" w:firstLineChars="200"/>
        <w:rPr>
          <w:rFonts w:ascii="宋体" w:hAnsi="宋体" w:eastAsia="宋体" w:cs="宋体"/>
          <w:sz w:val="28"/>
          <w:szCs w:val="28"/>
        </w:rPr>
      </w:pPr>
      <w:r>
        <w:rPr>
          <w:rFonts w:hint="eastAsia" w:ascii="宋体" w:hAnsi="宋体" w:eastAsia="宋体" w:cs="宋体"/>
          <w:sz w:val="28"/>
          <w:szCs w:val="28"/>
        </w:rPr>
        <w:t>2、未被列入法院失信被执行人名单【报名截止日在福建省失信被执行人联合惩戒平台查询情况意向受让方不存在失信记录；且报名截止日在中国执行信息公开网（http://zxgk.court.gov.cn/）失信被执行人查询没有找到意向受让方相关的结果】；</w:t>
      </w:r>
    </w:p>
    <w:p w14:paraId="27F31A3A">
      <w:pPr>
        <w:widowControl/>
        <w:spacing w:line="500" w:lineRule="exact"/>
        <w:ind w:firstLine="560" w:firstLineChars="200"/>
        <w:rPr>
          <w:rFonts w:ascii="宋体" w:hAnsi="宋体" w:eastAsia="宋体" w:cs="宋体"/>
          <w:sz w:val="28"/>
          <w:szCs w:val="28"/>
        </w:rPr>
      </w:pPr>
      <w:r>
        <w:rPr>
          <w:rFonts w:hint="eastAsia" w:ascii="宋体" w:hAnsi="宋体" w:eastAsia="宋体" w:cs="宋体"/>
          <w:sz w:val="28"/>
          <w:szCs w:val="28"/>
        </w:rPr>
        <w:t>3、符合国家法律、行政法规规定的其他条件；</w:t>
      </w:r>
    </w:p>
    <w:p w14:paraId="0C90263E">
      <w:pPr>
        <w:widowControl/>
        <w:spacing w:line="500" w:lineRule="exact"/>
        <w:ind w:firstLine="560" w:firstLineChars="200"/>
        <w:jc w:val="left"/>
        <w:rPr>
          <w:rFonts w:ascii="宋体" w:hAnsi="宋体" w:eastAsia="宋体" w:cs="Times New Roman"/>
          <w:b/>
          <w:sz w:val="28"/>
          <w:szCs w:val="28"/>
        </w:rPr>
      </w:pPr>
      <w:r>
        <w:rPr>
          <w:rFonts w:hint="eastAsia" w:ascii="宋体" w:hAnsi="宋体" w:eastAsia="宋体" w:cs="宋体"/>
          <w:sz w:val="28"/>
          <w:szCs w:val="28"/>
        </w:rPr>
        <w:t>4、不接受联合体受让。</w:t>
      </w:r>
    </w:p>
    <w:p w14:paraId="2355797D">
      <w:pPr>
        <w:rPr>
          <w:rFonts w:ascii="宋体" w:hAnsi="宋体" w:cs="宋体"/>
          <w:sz w:val="28"/>
          <w:szCs w:val="28"/>
        </w:rPr>
      </w:pPr>
      <w:r>
        <w:rPr>
          <w:rFonts w:hint="eastAsia" w:ascii="宋体" w:hAnsi="宋体" w:cs="宋体"/>
          <w:b/>
          <w:bCs/>
          <w:sz w:val="28"/>
          <w:szCs w:val="28"/>
        </w:rPr>
        <w:t>五、出让时间：</w:t>
      </w:r>
      <w:r>
        <w:rPr>
          <w:rFonts w:hint="eastAsia" w:ascii="宋体" w:hAnsi="宋体" w:cs="宋体"/>
          <w:b/>
          <w:bCs/>
          <w:sz w:val="28"/>
          <w:szCs w:val="28"/>
          <w:highlight w:val="yellow"/>
          <w:lang w:val="en-US" w:eastAsia="zh-CN"/>
        </w:rPr>
        <w:t>30</w:t>
      </w:r>
      <w:r>
        <w:rPr>
          <w:rFonts w:hint="eastAsia" w:ascii="宋体" w:hAnsi="宋体" w:cs="宋体"/>
          <w:b/>
          <w:bCs/>
          <w:sz w:val="28"/>
          <w:szCs w:val="28"/>
          <w:highlight w:val="yellow"/>
        </w:rPr>
        <w:t>年</w:t>
      </w:r>
      <w:r>
        <w:rPr>
          <w:rFonts w:hint="eastAsia" w:ascii="宋体" w:hAnsi="宋体" w:cs="宋体"/>
          <w:sz w:val="28"/>
          <w:szCs w:val="28"/>
        </w:rPr>
        <w:t>。</w:t>
      </w:r>
    </w:p>
    <w:p w14:paraId="24D731BC">
      <w:pPr>
        <w:rPr>
          <w:rFonts w:ascii="宋体" w:hAnsi="宋体" w:eastAsia="宋体" w:cs="宋体"/>
          <w:b/>
          <w:bCs/>
          <w:sz w:val="28"/>
          <w:szCs w:val="28"/>
        </w:rPr>
      </w:pPr>
      <w:r>
        <w:rPr>
          <w:rFonts w:hint="eastAsia" w:ascii="宋体" w:hAnsi="宋体" w:cs="宋体"/>
          <w:b/>
          <w:bCs/>
          <w:sz w:val="28"/>
          <w:szCs w:val="28"/>
        </w:rPr>
        <w:t>六</w:t>
      </w:r>
      <w:r>
        <w:rPr>
          <w:rFonts w:hint="eastAsia" w:ascii="宋体" w:hAnsi="宋体" w:eastAsia="宋体" w:cs="宋体"/>
          <w:b/>
          <w:bCs/>
          <w:sz w:val="28"/>
          <w:szCs w:val="28"/>
        </w:rPr>
        <w:t>、受让方应接受的交易条件</w:t>
      </w:r>
    </w:p>
    <w:p w14:paraId="1C960AC5">
      <w:pPr>
        <w:widowControl/>
        <w:spacing w:line="500" w:lineRule="exact"/>
        <w:ind w:firstLine="560" w:firstLineChars="200"/>
        <w:rPr>
          <w:rFonts w:hint="eastAsia" w:ascii="宋体" w:hAnsi="宋体" w:eastAsia="宋体" w:cs="宋体"/>
          <w:sz w:val="28"/>
          <w:szCs w:val="28"/>
        </w:rPr>
      </w:pPr>
      <w:r>
        <w:rPr>
          <w:rFonts w:hint="eastAsia" w:ascii="宋体" w:hAnsi="宋体" w:eastAsia="宋体" w:cs="宋体"/>
          <w:color w:val="auto"/>
          <w:sz w:val="28"/>
          <w:szCs w:val="28"/>
          <w:highlight w:val="none"/>
          <w:shd w:val="clear" w:color="auto" w:fill="auto"/>
        </w:rPr>
        <w:t>1、受让方应</w:t>
      </w:r>
      <w:r>
        <w:rPr>
          <w:rFonts w:hint="eastAsia" w:ascii="宋体" w:hAnsi="宋体" w:eastAsia="宋体" w:cs="宋体"/>
          <w:sz w:val="28"/>
          <w:szCs w:val="28"/>
        </w:rPr>
        <w:t>在</w:t>
      </w:r>
      <w:r>
        <w:rPr>
          <w:rFonts w:hint="eastAsia" w:ascii="宋体" w:hAnsi="宋体" w:eastAsia="宋体" w:cs="宋体"/>
          <w:sz w:val="28"/>
          <w:szCs w:val="28"/>
          <w:lang w:eastAsia="zh-CN"/>
        </w:rPr>
        <w:t>《林地使用权出让合同书》</w:t>
      </w:r>
      <w:r>
        <w:rPr>
          <w:rFonts w:hint="eastAsia" w:ascii="宋体" w:hAnsi="宋体" w:eastAsia="宋体" w:cs="宋体"/>
          <w:sz w:val="28"/>
          <w:szCs w:val="28"/>
        </w:rPr>
        <w:t>签订之日起五个工作日内一次性支付全部成交价款。</w:t>
      </w:r>
    </w:p>
    <w:p w14:paraId="6CAD8CE5">
      <w:pPr>
        <w:widowControl/>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受让方</w:t>
      </w:r>
      <w:r>
        <w:rPr>
          <w:rFonts w:hint="eastAsia" w:ascii="宋体" w:hAnsi="宋体" w:eastAsia="宋体" w:cs="宋体"/>
          <w:sz w:val="28"/>
          <w:szCs w:val="28"/>
        </w:rPr>
        <w:t>应遵守国家法律、法规，不得用于国家法律、法规不允许的用途。若受让方须采伐林地上的林木资源须自行办理采伐证。若受让方用于其他用途应自行向相关部门申请办理与自身使用有关的所有审批手续并自行承担不能审批的风险和一切损失。</w:t>
      </w:r>
    </w:p>
    <w:p w14:paraId="2E7A1824">
      <w:pPr>
        <w:widowControl/>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林地使用权出让合同书》到期前，受让方须将林地恢复出让方移交至受让方时原状。若《林地使用权出让合同书》林地使用年限到期前，受让方提前完成砍伐，则出让方有权提前收回林地，该林地经营权归出让方所有；若《林地使用权出让合同书》林地使用年限到期后受让方仍未将林木采伐完，受让方确需延期采伐的，需提前15个工作日向出让方申请，经出让方同意后方可延期采伐，且受让方须在合同到期后3日内按每年每亩50元（未满一年按一年计）标准向出让方缴纳延期费用，未提前向出让方申请，或依据当地林</w:t>
      </w:r>
      <w:bookmarkStart w:id="0" w:name="_GoBack"/>
      <w:bookmarkEnd w:id="0"/>
      <w:r>
        <w:rPr>
          <w:rFonts w:hint="eastAsia" w:ascii="宋体" w:hAnsi="宋体" w:eastAsia="宋体" w:cs="宋体"/>
          <w:sz w:val="28"/>
          <w:szCs w:val="28"/>
        </w:rPr>
        <w:t>业政策规定受让方不得继续采伐，则受让方应及时无条件将标的移交至出让方。</w:t>
      </w:r>
    </w:p>
    <w:p w14:paraId="170ED0EB">
      <w:pPr>
        <w:widowControl/>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、签订</w:t>
      </w:r>
      <w:r>
        <w:rPr>
          <w:rFonts w:hint="eastAsia" w:ascii="宋体" w:hAnsi="宋体" w:eastAsia="宋体" w:cs="宋体"/>
          <w:sz w:val="28"/>
          <w:szCs w:val="28"/>
          <w:lang w:eastAsia="zh-CN"/>
        </w:rPr>
        <w:t>《林地使用权出让合同书》</w:t>
      </w:r>
      <w:r>
        <w:rPr>
          <w:rFonts w:hint="eastAsia" w:ascii="宋体" w:hAnsi="宋体" w:eastAsia="宋体" w:cs="宋体"/>
          <w:sz w:val="28"/>
          <w:szCs w:val="28"/>
        </w:rPr>
        <w:t>后，林地的做工风险、责任、费用及损失概由</w:t>
      </w:r>
      <w:r>
        <w:rPr>
          <w:rFonts w:hint="eastAsia" w:ascii="宋体" w:hAnsi="宋体" w:eastAsia="宋体" w:cs="宋体"/>
          <w:sz w:val="28"/>
          <w:szCs w:val="28"/>
          <w:lang w:eastAsia="zh-CN"/>
        </w:rPr>
        <w:t>受让方</w:t>
      </w:r>
      <w:r>
        <w:rPr>
          <w:rFonts w:hint="eastAsia" w:ascii="宋体" w:hAnsi="宋体" w:eastAsia="宋体" w:cs="宋体"/>
          <w:sz w:val="28"/>
          <w:szCs w:val="28"/>
        </w:rPr>
        <w:t>自行承担，若林业部门补拨的造林款，属于</w:t>
      </w:r>
      <w:r>
        <w:rPr>
          <w:rFonts w:hint="eastAsia" w:ascii="宋体" w:hAnsi="宋体" w:eastAsia="宋体" w:cs="宋体"/>
          <w:sz w:val="28"/>
          <w:szCs w:val="28"/>
          <w:lang w:eastAsia="zh-CN"/>
        </w:rPr>
        <w:t>受让方</w:t>
      </w:r>
      <w:r>
        <w:rPr>
          <w:rFonts w:hint="eastAsia" w:ascii="宋体" w:hAnsi="宋体" w:eastAsia="宋体" w:cs="宋体"/>
          <w:sz w:val="28"/>
          <w:szCs w:val="28"/>
        </w:rPr>
        <w:t>造林区域内的部分归</w:t>
      </w:r>
      <w:r>
        <w:rPr>
          <w:rFonts w:hint="eastAsia" w:ascii="宋体" w:hAnsi="宋体" w:eastAsia="宋体" w:cs="宋体"/>
          <w:sz w:val="28"/>
          <w:szCs w:val="28"/>
          <w:lang w:eastAsia="zh-CN"/>
        </w:rPr>
        <w:t>受让方</w:t>
      </w:r>
      <w:r>
        <w:rPr>
          <w:rFonts w:hint="eastAsia" w:ascii="宋体" w:hAnsi="宋体" w:eastAsia="宋体" w:cs="宋体"/>
          <w:sz w:val="28"/>
          <w:szCs w:val="28"/>
        </w:rPr>
        <w:t>所有</w:t>
      </w:r>
      <w:r>
        <w:rPr>
          <w:rFonts w:hint="eastAsia" w:ascii="宋体" w:hAnsi="宋体" w:eastAsia="宋体" w:cs="宋体"/>
          <w:sz w:val="28"/>
          <w:szCs w:val="28"/>
          <w:lang w:eastAsia="zh-CN"/>
        </w:rPr>
        <w:t>。</w:t>
      </w:r>
      <w:r>
        <w:rPr>
          <w:rFonts w:hint="eastAsia" w:ascii="宋体" w:hAnsi="宋体" w:eastAsia="宋体" w:cs="宋体"/>
          <w:sz w:val="28"/>
          <w:szCs w:val="28"/>
        </w:rPr>
        <w:t>双方共同责任、权属等有关规定：</w:t>
      </w:r>
    </w:p>
    <w:p w14:paraId="29F41355">
      <w:pPr>
        <w:widowControl/>
        <w:spacing w:line="50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1、上交利润：受让方在第二次间伐办证时，每亩无偿上交壹立方米原木，共计（</w:t>
      </w:r>
      <w:r>
        <w:rPr>
          <w:rFonts w:hint="eastAsia" w:ascii="宋体" w:hAnsi="宋体" w:eastAsia="宋体" w:cs="宋体"/>
          <w:sz w:val="28"/>
          <w:szCs w:val="28"/>
          <w:lang w:val="en-US" w:eastAsia="zh-CN"/>
        </w:rPr>
        <w:t>178.5亩）壹佰柒拾捌点伍立方米原木（178.5m3),规格长4米口径12公分以上或按当年市场价折币给出让方，作为林地使用费，未交清出让方不出具任何手续，受让方不得采伐。</w:t>
      </w:r>
    </w:p>
    <w:p w14:paraId="3C2575DC">
      <w:pPr>
        <w:widowControl/>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4.2、出让方应积极协助受让方的管理工作，如受让方抓获他人偷盗木材时，出让方配合处理，由此所得赔偿归出让方所有，被盗取林木资产归受让方所有。</w:t>
      </w:r>
    </w:p>
    <w:p w14:paraId="73A2BA2C">
      <w:pPr>
        <w:widowControl/>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4.3、受让方在管护和生产中应做好安全工作，办理意外工伤险，一切意外工伤、自然灾害事故由受让方自行承担，出让方概不负任何经济责任。</w:t>
      </w:r>
    </w:p>
    <w:p w14:paraId="499A151A">
      <w:pPr>
        <w:widowControl/>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4.4、受让方必须做好护林防火工作，一旦出现火灾时，出让方积极组织人员协助救灾，打火工资等一切经济开支及火灾造成的一切损失由受让方承担。</w:t>
      </w:r>
    </w:p>
    <w:p w14:paraId="3A266525">
      <w:pPr>
        <w:widowControl/>
        <w:spacing w:line="5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4.5、若遇国家、出让方公益建设、山场开路等需征用受让方承包地，受让方必须无条件服从。土地补偿款、劳动力安置费一律属出让方所有，受让方只能享有林木补偿款，但不准高于国家核定的标准。</w:t>
      </w:r>
    </w:p>
    <w:p w14:paraId="60807892">
      <w:pPr>
        <w:widowControl/>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、受让方采伐林木时,必须严格按照采伐设计要求和有关林木采伐的法律法规进行，否则一切后果由受让方承担，情节严重的移交公安部门处理。</w:t>
      </w:r>
    </w:p>
    <w:p w14:paraId="5D22786C">
      <w:pPr>
        <w:widowControl/>
        <w:spacing w:line="500" w:lineRule="exact"/>
        <w:ind w:firstLine="560" w:firstLineChars="200"/>
        <w:rPr>
          <w:rFonts w:hint="eastAsia" w:ascii="宋体" w:hAnsi="宋体" w:eastAsia="宋体" w:cs="宋体"/>
          <w:b w:val="0"/>
          <w:bCs w:val="0"/>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、其他交易条</w:t>
      </w:r>
      <w:r>
        <w:rPr>
          <w:rFonts w:hint="eastAsia" w:ascii="宋体" w:hAnsi="宋体" w:eastAsia="宋体" w:cs="宋体"/>
          <w:color w:val="auto"/>
          <w:sz w:val="28"/>
          <w:szCs w:val="28"/>
          <w:highlight w:val="none"/>
          <w:shd w:val="clear" w:color="auto" w:fill="auto"/>
        </w:rPr>
        <w:t>件以</w:t>
      </w:r>
      <w:r>
        <w:rPr>
          <w:rFonts w:hint="eastAsia" w:ascii="宋体" w:hAnsi="宋体" w:eastAsia="宋体" w:cs="宋体"/>
          <w:color w:val="auto"/>
          <w:sz w:val="28"/>
          <w:szCs w:val="28"/>
          <w:highlight w:val="none"/>
          <w:shd w:val="clear" w:color="auto" w:fill="auto"/>
          <w:lang w:eastAsia="zh-CN"/>
        </w:rPr>
        <w:t>《林地使用权出让合同书》</w:t>
      </w:r>
      <w:r>
        <w:rPr>
          <w:rFonts w:hint="eastAsia" w:ascii="宋体" w:hAnsi="宋体" w:eastAsia="宋体" w:cs="宋体"/>
          <w:color w:val="auto"/>
          <w:sz w:val="28"/>
          <w:szCs w:val="28"/>
          <w:highlight w:val="none"/>
          <w:shd w:val="clear" w:color="auto" w:fill="auto"/>
        </w:rPr>
        <w:t>约定为准。</w:t>
      </w:r>
    </w:p>
    <w:p w14:paraId="3E2F8CCE">
      <w:pPr>
        <w:jc w:val="left"/>
        <w:rPr>
          <w:rFonts w:ascii="宋体" w:hAnsi="宋体" w:eastAsia="宋体" w:cs="宋体"/>
          <w:b/>
          <w:bCs/>
          <w:sz w:val="28"/>
          <w:szCs w:val="28"/>
        </w:rPr>
      </w:pPr>
      <w:r>
        <w:rPr>
          <w:rFonts w:hint="eastAsia" w:ascii="宋体" w:hAnsi="宋体" w:eastAsia="宋体" w:cs="宋体"/>
          <w:b/>
          <w:bCs/>
          <w:sz w:val="28"/>
          <w:szCs w:val="28"/>
        </w:rPr>
        <w:t>七、特别提示</w:t>
      </w:r>
    </w:p>
    <w:p w14:paraId="545FC593">
      <w:pPr>
        <w:ind w:firstLine="560"/>
        <w:jc w:val="left"/>
        <w:rPr>
          <w:rFonts w:ascii="宋体" w:hAnsi="宋体" w:eastAsia="宋体" w:cs="宋体"/>
          <w:b/>
          <w:bCs/>
          <w:sz w:val="28"/>
          <w:szCs w:val="28"/>
        </w:rPr>
      </w:pPr>
      <w:r>
        <w:rPr>
          <w:rFonts w:hint="eastAsia" w:ascii="宋体" w:hAnsi="宋体" w:eastAsia="宋体" w:cs="宋体"/>
          <w:b/>
          <w:bCs/>
          <w:sz w:val="28"/>
          <w:szCs w:val="28"/>
        </w:rPr>
        <w:t>1、出让标的未取得相关权证，受让方竞得标的的受让权后，不得以出让标的未取得相关权证为由，拒签成交材料、《林地使用权出让合同书》等文件，也不得以此为由拒绝履行《林地使用权出让合同书》、拒绝支付履约保证金、交易价款及受让方应支付的交易服务费。</w:t>
      </w:r>
    </w:p>
    <w:p w14:paraId="54AE3702">
      <w:pPr>
        <w:ind w:firstLine="560"/>
        <w:jc w:val="left"/>
        <w:rPr>
          <w:rFonts w:ascii="宋体" w:hAnsi="宋体" w:eastAsia="宋体" w:cs="宋体"/>
          <w:b/>
          <w:bCs/>
          <w:sz w:val="28"/>
          <w:szCs w:val="28"/>
        </w:rPr>
      </w:pPr>
      <w:r>
        <w:rPr>
          <w:rFonts w:hint="eastAsia" w:ascii="宋体" w:hAnsi="宋体" w:eastAsia="宋体" w:cs="宋体"/>
          <w:b/>
          <w:bCs/>
          <w:sz w:val="28"/>
          <w:szCs w:val="28"/>
        </w:rPr>
        <w:t>2、竞买人递交本项目竞买申请并交纳保证金，即表明已完全了解与认可出让标的状况及所有出让条件，自愿接受出让标的的全部现状及瑕疵，并愿承担一切责任与风险，成为受让方后不得以不了解出让标的状况及瑕疵为由主张退还出让房屋或拒付交易价款，否则即视为违约。</w:t>
      </w:r>
    </w:p>
    <w:p w14:paraId="39402407">
      <w:pPr>
        <w:spacing w:line="500" w:lineRule="exact"/>
        <w:rPr>
          <w:rFonts w:ascii="宋体" w:hAnsi="宋体" w:eastAsia="宋体" w:cs="Times New Roman"/>
          <w:b/>
          <w:sz w:val="28"/>
          <w:szCs w:val="28"/>
        </w:rPr>
      </w:pPr>
      <w:r>
        <w:rPr>
          <w:rFonts w:hint="eastAsia" w:ascii="宋体" w:hAnsi="宋体" w:eastAsia="宋体" w:cs="Times New Roman"/>
          <w:b/>
          <w:sz w:val="28"/>
          <w:szCs w:val="28"/>
        </w:rPr>
        <w:t>八</w:t>
      </w:r>
      <w:r>
        <w:rPr>
          <w:rFonts w:ascii="宋体" w:hAnsi="宋体" w:eastAsia="宋体" w:cs="Times New Roman"/>
          <w:b/>
          <w:sz w:val="28"/>
          <w:szCs w:val="28"/>
        </w:rPr>
        <w:t>、</w:t>
      </w:r>
      <w:r>
        <w:rPr>
          <w:rFonts w:hint="eastAsia" w:ascii="宋体" w:hAnsi="宋体" w:eastAsia="宋体" w:cs="Times New Roman"/>
          <w:b/>
          <w:sz w:val="28"/>
          <w:szCs w:val="28"/>
        </w:rPr>
        <w:t>意向受让方</w:t>
      </w:r>
      <w:r>
        <w:rPr>
          <w:rFonts w:ascii="宋体" w:hAnsi="宋体" w:eastAsia="宋体" w:cs="Times New Roman"/>
          <w:b/>
          <w:sz w:val="28"/>
          <w:szCs w:val="28"/>
        </w:rPr>
        <w:t>报名需向组织方提交的证明材料</w:t>
      </w:r>
    </w:p>
    <w:p w14:paraId="0A5A0B1A">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1、</w:t>
      </w:r>
      <w:r>
        <w:rPr>
          <w:rFonts w:hint="eastAsia" w:ascii="宋体" w:hAnsi="宋体" w:cs="宋体"/>
          <w:sz w:val="28"/>
          <w:szCs w:val="28"/>
        </w:rPr>
        <w:t>法人单位</w:t>
      </w:r>
      <w:r>
        <w:rPr>
          <w:rFonts w:hint="eastAsia" w:ascii="宋体" w:hAnsi="宋体" w:eastAsia="宋体" w:cs="宋体"/>
          <w:bCs/>
          <w:sz w:val="28"/>
          <w:szCs w:val="28"/>
        </w:rPr>
        <w:t>及非法人组织</w:t>
      </w:r>
      <w:r>
        <w:rPr>
          <w:rFonts w:ascii="宋体" w:hAnsi="宋体" w:eastAsia="宋体" w:cs="宋体"/>
          <w:bCs/>
          <w:sz w:val="28"/>
          <w:szCs w:val="28"/>
        </w:rPr>
        <w:t>：a、</w:t>
      </w:r>
      <w:r>
        <w:rPr>
          <w:rFonts w:hint="eastAsia" w:ascii="宋体" w:hAnsi="宋体" w:cs="宋体"/>
          <w:sz w:val="28"/>
          <w:szCs w:val="28"/>
        </w:rPr>
        <w:t>依法设立法人单位的营业执照副本等主体资格证明材料复印件</w:t>
      </w:r>
      <w:r>
        <w:rPr>
          <w:rFonts w:ascii="宋体" w:hAnsi="宋体" w:eastAsia="宋体" w:cs="宋体"/>
          <w:bCs/>
          <w:sz w:val="28"/>
          <w:szCs w:val="28"/>
        </w:rPr>
        <w:t>（加盖公章）；b、法定代表人或负责人身份证复印件（加盖公章）；c、同意受让农村产权的决策文件（原件）;d、章程复印件（加盖公章）。</w:t>
      </w:r>
    </w:p>
    <w:p w14:paraId="0C3ABB44">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2、自然人：a、身份证明复印件。</w:t>
      </w:r>
    </w:p>
    <w:p w14:paraId="7FC15B7C">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3、《农村受让申请登记表》（格式见附件一，原件）。</w:t>
      </w:r>
    </w:p>
    <w:p w14:paraId="4163A0A0">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4、委托代理的，需提交《受让授权委托书》（格式见附件二，原件）及受托人身份证复印件。</w:t>
      </w:r>
    </w:p>
    <w:p w14:paraId="2091D904">
      <w:pPr>
        <w:spacing w:line="500" w:lineRule="exact"/>
        <w:ind w:firstLine="562" w:firstLineChars="200"/>
        <w:rPr>
          <w:rFonts w:ascii="宋体" w:hAnsi="宋体" w:eastAsia="宋体" w:cs="宋体"/>
          <w:b/>
          <w:sz w:val="28"/>
          <w:szCs w:val="28"/>
        </w:rPr>
      </w:pPr>
      <w:r>
        <w:rPr>
          <w:rFonts w:ascii="宋体" w:hAnsi="宋体" w:eastAsia="宋体" w:cs="宋体"/>
          <w:b/>
          <w:sz w:val="28"/>
          <w:szCs w:val="28"/>
        </w:rPr>
        <w:t>（注：</w:t>
      </w:r>
      <w:r>
        <w:rPr>
          <w:rFonts w:hint="eastAsia" w:ascii="宋体" w:hAnsi="宋体" w:eastAsia="宋体" w:cs="宋体"/>
          <w:b/>
          <w:sz w:val="28"/>
          <w:szCs w:val="28"/>
        </w:rPr>
        <w:t>法人单位</w:t>
      </w:r>
      <w:r>
        <w:rPr>
          <w:rFonts w:ascii="宋体" w:hAnsi="宋体" w:eastAsia="宋体" w:cs="宋体"/>
          <w:b/>
          <w:sz w:val="28"/>
          <w:szCs w:val="28"/>
        </w:rPr>
        <w:t>及其他组织提交的证明材料应由法人和其他组织单位加盖公章，自然人提交的证明材料应签字加按手指印）</w:t>
      </w:r>
    </w:p>
    <w:p w14:paraId="78405C82">
      <w:pPr>
        <w:spacing w:before="200" w:after="200" w:line="500" w:lineRule="exact"/>
        <w:rPr>
          <w:rFonts w:ascii="宋体" w:hAnsi="宋体" w:eastAsia="宋体" w:cs="Times New Roman"/>
          <w:b/>
          <w:sz w:val="28"/>
          <w:szCs w:val="28"/>
        </w:rPr>
      </w:pPr>
      <w:r>
        <w:rPr>
          <w:rFonts w:hint="eastAsia" w:ascii="宋体" w:hAnsi="宋体" w:eastAsia="宋体" w:cs="Times New Roman"/>
          <w:b/>
          <w:sz w:val="28"/>
          <w:szCs w:val="28"/>
        </w:rPr>
        <w:t>九</w:t>
      </w:r>
      <w:r>
        <w:rPr>
          <w:rFonts w:ascii="宋体" w:hAnsi="宋体" w:eastAsia="宋体" w:cs="Times New Roman"/>
          <w:b/>
          <w:sz w:val="28"/>
          <w:szCs w:val="28"/>
        </w:rPr>
        <w:t>、竞价保证金缴付方式及要求</w:t>
      </w:r>
    </w:p>
    <w:p w14:paraId="3F0BF6E2">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 xml:space="preserve"> 1、</w:t>
      </w:r>
      <w:r>
        <w:rPr>
          <w:rFonts w:hint="eastAsia" w:ascii="宋体" w:hAnsi="宋体" w:eastAsia="宋体" w:cs="宋体"/>
          <w:bCs/>
          <w:sz w:val="28"/>
          <w:szCs w:val="28"/>
        </w:rPr>
        <w:t>意向受让方</w:t>
      </w:r>
      <w:r>
        <w:rPr>
          <w:rFonts w:ascii="宋体" w:hAnsi="宋体" w:eastAsia="宋体" w:cs="宋体"/>
          <w:bCs/>
          <w:sz w:val="28"/>
          <w:szCs w:val="28"/>
        </w:rPr>
        <w:t>参与竞价须在报名截止日</w:t>
      </w:r>
      <w:r>
        <w:rPr>
          <w:rFonts w:hint="eastAsia" w:ascii="宋体" w:hAnsi="宋体" w:eastAsia="宋体" w:cs="宋体"/>
          <w:bCs/>
          <w:sz w:val="28"/>
          <w:szCs w:val="28"/>
        </w:rPr>
        <w:t>202</w:t>
      </w:r>
      <w:r>
        <w:rPr>
          <w:rFonts w:hint="eastAsia" w:ascii="宋体" w:hAnsi="宋体" w:eastAsia="宋体" w:cs="宋体"/>
          <w:bCs/>
          <w:sz w:val="28"/>
          <w:szCs w:val="28"/>
          <w:lang w:val="en-US" w:eastAsia="zh-CN"/>
        </w:rPr>
        <w:t>5</w:t>
      </w:r>
      <w:r>
        <w:rPr>
          <w:rFonts w:hint="eastAsia" w:ascii="宋体" w:hAnsi="宋体" w:eastAsia="宋体" w:cs="宋体"/>
          <w:bCs/>
          <w:sz w:val="28"/>
          <w:szCs w:val="28"/>
        </w:rPr>
        <w:t>年  月  日</w:t>
      </w:r>
      <w:r>
        <w:rPr>
          <w:rFonts w:ascii="宋体" w:hAnsi="宋体" w:eastAsia="宋体" w:cs="宋体"/>
          <w:bCs/>
          <w:sz w:val="28"/>
          <w:szCs w:val="28"/>
        </w:rPr>
        <w:t>17：00时之前将本项目交易项目竞价保证金</w:t>
      </w:r>
      <w:r>
        <w:rPr>
          <w:rFonts w:hint="eastAsia" w:ascii="宋体" w:hAnsi="宋体" w:eastAsia="宋体" w:cs="宋体"/>
          <w:bCs/>
          <w:sz w:val="28"/>
          <w:szCs w:val="28"/>
          <w:lang w:val="en-US" w:eastAsia="zh-CN"/>
        </w:rPr>
        <w:t>10</w:t>
      </w:r>
      <w:r>
        <w:rPr>
          <w:rFonts w:hint="eastAsia" w:ascii="宋体" w:hAnsi="宋体" w:eastAsia="宋体" w:cs="宋体"/>
          <w:bCs/>
          <w:sz w:val="28"/>
          <w:szCs w:val="28"/>
        </w:rPr>
        <w:t>000元</w:t>
      </w:r>
      <w:r>
        <w:rPr>
          <w:rFonts w:ascii="宋体" w:hAnsi="宋体" w:eastAsia="宋体" w:cs="宋体"/>
          <w:bCs/>
          <w:sz w:val="28"/>
          <w:szCs w:val="28"/>
        </w:rPr>
        <w:t>汇达组织方指定的银行账户（以实际到账为准）</w:t>
      </w:r>
      <w:r>
        <w:rPr>
          <w:rFonts w:ascii="宋体" w:hAnsi="宋体" w:eastAsia="宋体" w:cs="宋体"/>
          <w:b/>
          <w:sz w:val="28"/>
          <w:szCs w:val="28"/>
        </w:rPr>
        <w:t>（开户名称：福建省产权交易中心；开户行：开户行：福州农商银行股份有限公司鼓楼支行；账号：9010 2120 3001 0000 0551 27）</w:t>
      </w:r>
    </w:p>
    <w:p w14:paraId="57849B93">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 xml:space="preserve"> 2、竞价保证金缴款凭证上的汇款人名称须与</w:t>
      </w:r>
      <w:r>
        <w:rPr>
          <w:rFonts w:hint="eastAsia" w:ascii="宋体" w:hAnsi="宋体" w:eastAsia="宋体" w:cs="宋体"/>
          <w:bCs/>
          <w:sz w:val="28"/>
          <w:szCs w:val="28"/>
        </w:rPr>
        <w:t>意向受让方</w:t>
      </w:r>
      <w:r>
        <w:rPr>
          <w:rFonts w:ascii="宋体" w:hAnsi="宋体" w:eastAsia="宋体" w:cs="宋体"/>
          <w:bCs/>
          <w:sz w:val="28"/>
          <w:szCs w:val="28"/>
        </w:rPr>
        <w:t>名称一致，资金用途应当标明标的名称或类似字眼。</w:t>
      </w:r>
    </w:p>
    <w:p w14:paraId="4A5E632D">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3、</w:t>
      </w:r>
      <w:r>
        <w:rPr>
          <w:rFonts w:hint="eastAsia" w:ascii="宋体" w:hAnsi="宋体" w:eastAsia="宋体" w:cs="宋体"/>
          <w:bCs/>
          <w:sz w:val="28"/>
          <w:szCs w:val="28"/>
        </w:rPr>
        <w:t>意向受让方</w:t>
      </w:r>
      <w:r>
        <w:rPr>
          <w:rFonts w:ascii="宋体" w:hAnsi="宋体" w:eastAsia="宋体" w:cs="宋体"/>
          <w:bCs/>
          <w:sz w:val="28"/>
          <w:szCs w:val="28"/>
        </w:rPr>
        <w:t>未按规定的期限及指定账户提交竞价保证金的，将无法取得竞价资格。</w:t>
      </w:r>
    </w:p>
    <w:p w14:paraId="76D73D9D">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4、竞价保证金的处置</w:t>
      </w:r>
    </w:p>
    <w:p w14:paraId="458B2206">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（1）未成为受让方的</w:t>
      </w:r>
      <w:r>
        <w:rPr>
          <w:rFonts w:hint="eastAsia" w:ascii="宋体" w:hAnsi="宋体" w:eastAsia="宋体" w:cs="宋体"/>
          <w:bCs/>
          <w:sz w:val="28"/>
          <w:szCs w:val="28"/>
        </w:rPr>
        <w:t>意向受让方</w:t>
      </w:r>
      <w:r>
        <w:rPr>
          <w:rFonts w:ascii="宋体" w:hAnsi="宋体" w:eastAsia="宋体" w:cs="宋体"/>
          <w:bCs/>
          <w:sz w:val="28"/>
          <w:szCs w:val="28"/>
        </w:rPr>
        <w:t>的竞价保证金，组织方在成交次日起3个工作日内按原渠道无息退还。</w:t>
      </w:r>
    </w:p>
    <w:p w14:paraId="05828B1A">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（2）成为受让方的</w:t>
      </w:r>
      <w:r>
        <w:rPr>
          <w:rFonts w:hint="eastAsia" w:ascii="宋体" w:hAnsi="宋体" w:eastAsia="宋体" w:cs="宋体"/>
          <w:bCs/>
          <w:sz w:val="28"/>
          <w:szCs w:val="28"/>
        </w:rPr>
        <w:t>意向受让方</w:t>
      </w:r>
      <w:r>
        <w:rPr>
          <w:rFonts w:ascii="宋体" w:hAnsi="宋体" w:eastAsia="宋体" w:cs="宋体"/>
          <w:bCs/>
          <w:sz w:val="28"/>
          <w:szCs w:val="28"/>
        </w:rPr>
        <w:t>前期缴纳的竞价保证金在</w:t>
      </w:r>
      <w:r>
        <w:rPr>
          <w:rFonts w:hint="eastAsia" w:ascii="宋体" w:hAnsi="宋体" w:eastAsia="宋体" w:cs="宋体"/>
          <w:bCs/>
          <w:sz w:val="28"/>
          <w:szCs w:val="28"/>
        </w:rPr>
        <w:t>《农村土地经营权出让合同》</w:t>
      </w:r>
      <w:r>
        <w:rPr>
          <w:rFonts w:ascii="宋体" w:hAnsi="宋体" w:eastAsia="宋体" w:cs="宋体"/>
          <w:bCs/>
          <w:sz w:val="28"/>
          <w:szCs w:val="28"/>
        </w:rPr>
        <w:t>生效后，</w:t>
      </w:r>
      <w:r>
        <w:rPr>
          <w:rFonts w:hint="eastAsia" w:ascii="宋体" w:hAnsi="宋体" w:eastAsia="宋体" w:cs="宋体"/>
          <w:bCs/>
          <w:sz w:val="28"/>
          <w:szCs w:val="28"/>
        </w:rPr>
        <w:t>在受让方未违约的情况下，</w:t>
      </w:r>
      <w:r>
        <w:rPr>
          <w:rFonts w:ascii="宋体" w:hAnsi="宋体" w:eastAsia="宋体" w:cs="宋体"/>
          <w:bCs/>
          <w:sz w:val="28"/>
          <w:szCs w:val="28"/>
        </w:rPr>
        <w:t>组</w:t>
      </w:r>
      <w:r>
        <w:rPr>
          <w:rFonts w:hint="eastAsia" w:ascii="宋体" w:hAnsi="宋体" w:eastAsia="宋体" w:cs="宋体"/>
          <w:bCs/>
          <w:sz w:val="28"/>
          <w:szCs w:val="28"/>
        </w:rPr>
        <w:t>织方将根据出让方与受让方双方约定竞价保证金扣除交易服务费后的余额可等额无息转为部分交易价款</w:t>
      </w:r>
      <w:r>
        <w:rPr>
          <w:rFonts w:ascii="宋体" w:hAnsi="宋体" w:eastAsia="宋体" w:cs="宋体"/>
          <w:bCs/>
          <w:sz w:val="28"/>
          <w:szCs w:val="28"/>
        </w:rPr>
        <w:t>。</w:t>
      </w:r>
    </w:p>
    <w:p w14:paraId="5C578278">
      <w:pPr>
        <w:spacing w:line="500" w:lineRule="exact"/>
        <w:rPr>
          <w:rFonts w:ascii="宋体" w:hAnsi="宋体" w:eastAsia="宋体" w:cs="Times New Roman"/>
          <w:b/>
          <w:sz w:val="28"/>
          <w:szCs w:val="28"/>
        </w:rPr>
      </w:pPr>
      <w:r>
        <w:rPr>
          <w:rFonts w:hint="eastAsia" w:ascii="宋体" w:hAnsi="宋体" w:eastAsia="宋体" w:cs="Times New Roman"/>
          <w:b/>
          <w:sz w:val="28"/>
          <w:szCs w:val="28"/>
        </w:rPr>
        <w:t>十</w:t>
      </w:r>
      <w:r>
        <w:rPr>
          <w:rFonts w:ascii="宋体" w:hAnsi="宋体" w:eastAsia="宋体" w:cs="Times New Roman"/>
          <w:b/>
          <w:sz w:val="28"/>
          <w:szCs w:val="28"/>
        </w:rPr>
        <w:t>、</w:t>
      </w:r>
      <w:r>
        <w:rPr>
          <w:rFonts w:hint="eastAsia" w:ascii="宋体" w:hAnsi="宋体" w:eastAsia="宋体" w:cs="Times New Roman"/>
          <w:b/>
          <w:sz w:val="28"/>
          <w:szCs w:val="28"/>
        </w:rPr>
        <w:t>意向受让方</w:t>
      </w:r>
      <w:r>
        <w:rPr>
          <w:rFonts w:ascii="宋体" w:hAnsi="宋体" w:eastAsia="宋体" w:cs="Times New Roman"/>
          <w:b/>
          <w:sz w:val="28"/>
          <w:szCs w:val="28"/>
        </w:rPr>
        <w:t>参与网络竞价流程</w:t>
      </w:r>
    </w:p>
    <w:p w14:paraId="35B3D909">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1、</w:t>
      </w:r>
      <w:r>
        <w:rPr>
          <w:rFonts w:hint="eastAsia" w:ascii="宋体" w:hAnsi="宋体" w:eastAsia="宋体" w:cs="宋体"/>
          <w:bCs/>
          <w:sz w:val="28"/>
          <w:szCs w:val="28"/>
        </w:rPr>
        <w:t>意向受让方</w:t>
      </w:r>
      <w:r>
        <w:rPr>
          <w:rFonts w:ascii="宋体" w:hAnsi="宋体" w:eastAsia="宋体" w:cs="宋体"/>
          <w:bCs/>
          <w:sz w:val="28"/>
          <w:szCs w:val="28"/>
        </w:rPr>
        <w:t>登录第四产权网站：http://www.dscq.com/进入注册页面后，填写相对应的正确信息提交注册。填写、提交的报名资料须真实有效，否则由此引起的所有责任均由</w:t>
      </w:r>
      <w:r>
        <w:rPr>
          <w:rFonts w:hint="eastAsia" w:ascii="宋体" w:hAnsi="宋体" w:eastAsia="宋体" w:cs="宋体"/>
          <w:bCs/>
          <w:sz w:val="28"/>
          <w:szCs w:val="28"/>
        </w:rPr>
        <w:t>意向受让方</w:t>
      </w:r>
      <w:r>
        <w:rPr>
          <w:rFonts w:ascii="宋体" w:hAnsi="宋体" w:eastAsia="宋体" w:cs="宋体"/>
          <w:bCs/>
          <w:sz w:val="28"/>
          <w:szCs w:val="28"/>
        </w:rPr>
        <w:t>自行承担。</w:t>
      </w:r>
    </w:p>
    <w:p w14:paraId="0F8717A6">
      <w:pPr>
        <w:spacing w:line="500" w:lineRule="exact"/>
        <w:ind w:firstLine="562" w:firstLineChars="200"/>
        <w:rPr>
          <w:rFonts w:ascii="宋体" w:hAnsi="宋体" w:eastAsia="宋体" w:cs="宋体"/>
          <w:b/>
          <w:sz w:val="28"/>
          <w:szCs w:val="28"/>
        </w:rPr>
      </w:pPr>
      <w:r>
        <w:rPr>
          <w:rFonts w:ascii="宋体" w:hAnsi="宋体" w:eastAsia="宋体" w:cs="宋体"/>
          <w:b/>
          <w:sz w:val="28"/>
          <w:szCs w:val="28"/>
        </w:rPr>
        <w:t>2、</w:t>
      </w:r>
      <w:r>
        <w:rPr>
          <w:rFonts w:hint="eastAsia" w:ascii="宋体" w:hAnsi="宋体" w:eastAsia="宋体" w:cs="宋体"/>
          <w:b/>
          <w:sz w:val="28"/>
          <w:szCs w:val="28"/>
        </w:rPr>
        <w:t>意向受让方</w:t>
      </w:r>
      <w:r>
        <w:rPr>
          <w:rFonts w:ascii="宋体" w:hAnsi="宋体" w:eastAsia="宋体" w:cs="宋体"/>
          <w:b/>
          <w:sz w:val="28"/>
          <w:szCs w:val="28"/>
        </w:rPr>
        <w:t>登录“第四产权”网站：http://www.dscq.com/，进入项目详情页查看项目详情点击“立即报名”。</w:t>
      </w:r>
      <w:r>
        <w:rPr>
          <w:rFonts w:hint="eastAsia" w:ascii="宋体" w:hAnsi="宋体" w:eastAsia="宋体" w:cs="宋体"/>
          <w:b/>
          <w:sz w:val="28"/>
          <w:szCs w:val="28"/>
        </w:rPr>
        <w:t>意向受让方</w:t>
      </w:r>
      <w:r>
        <w:rPr>
          <w:rFonts w:ascii="宋体" w:hAnsi="宋体" w:eastAsia="宋体" w:cs="宋体"/>
          <w:b/>
          <w:sz w:val="28"/>
          <w:szCs w:val="28"/>
        </w:rPr>
        <w:t>根据实际情况选择报名类型，</w:t>
      </w:r>
      <w:r>
        <w:rPr>
          <w:rFonts w:hint="eastAsia" w:ascii="宋体" w:hAnsi="宋体" w:eastAsia="宋体" w:cs="宋体"/>
          <w:b/>
          <w:sz w:val="28"/>
          <w:szCs w:val="28"/>
        </w:rPr>
        <w:t>意向受让方</w:t>
      </w:r>
      <w:r>
        <w:rPr>
          <w:rFonts w:ascii="宋体" w:hAnsi="宋体" w:eastAsia="宋体" w:cs="宋体"/>
          <w:b/>
          <w:sz w:val="28"/>
          <w:szCs w:val="28"/>
        </w:rPr>
        <w:t>报名必须阅读并勾选“已阅读并接受《竞价须知》、《报名承诺书》及相关内容”、核对填写报名信息、点击“立即报名”并按本《竞价须知》第</w:t>
      </w:r>
      <w:r>
        <w:rPr>
          <w:rFonts w:hint="eastAsia" w:ascii="宋体" w:hAnsi="宋体" w:eastAsia="宋体" w:cs="宋体"/>
          <w:b/>
          <w:sz w:val="28"/>
          <w:szCs w:val="28"/>
        </w:rPr>
        <w:t>七</w:t>
      </w:r>
      <w:r>
        <w:rPr>
          <w:rFonts w:ascii="宋体" w:hAnsi="宋体" w:eastAsia="宋体" w:cs="宋体"/>
          <w:b/>
          <w:sz w:val="28"/>
          <w:szCs w:val="28"/>
        </w:rPr>
        <w:t>条缴纳竞价保证金，支付成功后，进入审核状态，</w:t>
      </w:r>
      <w:r>
        <w:rPr>
          <w:rFonts w:hint="eastAsia" w:ascii="宋体" w:hAnsi="宋体" w:eastAsia="宋体" w:cs="宋体"/>
          <w:b/>
          <w:sz w:val="28"/>
          <w:szCs w:val="28"/>
        </w:rPr>
        <w:t>意向受让方</w:t>
      </w:r>
      <w:r>
        <w:rPr>
          <w:rFonts w:ascii="宋体" w:hAnsi="宋体" w:eastAsia="宋体" w:cs="宋体"/>
          <w:b/>
          <w:sz w:val="28"/>
          <w:szCs w:val="28"/>
        </w:rPr>
        <w:t>须在报名截止日</w:t>
      </w:r>
      <w:r>
        <w:rPr>
          <w:rFonts w:hint="eastAsia" w:ascii="宋体" w:hAnsi="宋体" w:eastAsia="宋体" w:cs="宋体"/>
          <w:b/>
          <w:sz w:val="28"/>
          <w:szCs w:val="28"/>
        </w:rPr>
        <w:t>2024年  月  日</w:t>
      </w:r>
      <w:r>
        <w:rPr>
          <w:rFonts w:ascii="宋体" w:hAnsi="宋体" w:eastAsia="宋体" w:cs="宋体"/>
          <w:b/>
          <w:sz w:val="28"/>
          <w:szCs w:val="28"/>
        </w:rPr>
        <w:t>17：00时前完成上述申请，审核通过后的</w:t>
      </w:r>
      <w:r>
        <w:rPr>
          <w:rFonts w:hint="eastAsia" w:ascii="宋体" w:hAnsi="宋体" w:eastAsia="宋体" w:cs="宋体"/>
          <w:b/>
          <w:sz w:val="28"/>
          <w:szCs w:val="28"/>
        </w:rPr>
        <w:t>意向受让方</w:t>
      </w:r>
      <w:r>
        <w:rPr>
          <w:rFonts w:ascii="宋体" w:hAnsi="宋体" w:eastAsia="宋体" w:cs="宋体"/>
          <w:b/>
          <w:sz w:val="28"/>
          <w:szCs w:val="28"/>
        </w:rPr>
        <w:t>即可参与竞价。</w:t>
      </w:r>
    </w:p>
    <w:p w14:paraId="4EA5071D">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3、标的设有挂牌价，报价只要不低于挂牌价即为有效报价。</w:t>
      </w:r>
    </w:p>
    <w:p w14:paraId="796791CA">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4、“网络竞价”系统以“正向多次、价高者得”的原则确定最终</w:t>
      </w:r>
      <w:r>
        <w:rPr>
          <w:rFonts w:hint="eastAsia" w:ascii="宋体" w:hAnsi="宋体" w:eastAsia="宋体" w:cs="宋体"/>
          <w:bCs/>
          <w:sz w:val="28"/>
          <w:szCs w:val="28"/>
        </w:rPr>
        <w:t>受让方</w:t>
      </w:r>
      <w:r>
        <w:rPr>
          <w:rFonts w:ascii="宋体" w:hAnsi="宋体" w:eastAsia="宋体" w:cs="宋体"/>
          <w:bCs/>
          <w:sz w:val="28"/>
          <w:szCs w:val="28"/>
        </w:rPr>
        <w:t>。</w:t>
      </w:r>
    </w:p>
    <w:p w14:paraId="4EFE9832">
      <w:p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5、加价幅度。本次网络竞价的标的的加价幅度须是人民币1000元或其整数倍。</w:t>
      </w:r>
    </w:p>
    <w:p w14:paraId="04DE3FC4">
      <w:pPr>
        <w:numPr>
          <w:ilvl w:val="0"/>
          <w:numId w:val="1"/>
        </w:num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网络竞价分为限时报价期和延时报价期，本次标的限时报价期和延时报价期详见下表，标的延时报价周期时间为90秒钟具体如下表：</w:t>
      </w:r>
    </w:p>
    <w:tbl>
      <w:tblPr>
        <w:tblStyle w:val="8"/>
        <w:tblW w:w="9150" w:type="dxa"/>
        <w:tblInd w:w="-16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2085"/>
        <w:gridCol w:w="1925"/>
        <w:gridCol w:w="1949"/>
        <w:gridCol w:w="1951"/>
        <w:gridCol w:w="1240"/>
      </w:tblGrid>
      <w:tr w14:paraId="3A0732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40" w:hRule="atLeast"/>
        </w:trPr>
        <w:tc>
          <w:tcPr>
            <w:tcW w:w="2085" w:type="dxa"/>
            <w:tcBorders>
              <w:tl2br w:val="nil"/>
              <w:tr2bl w:val="nil"/>
            </w:tcBorders>
            <w:noWrap/>
            <w:vAlign w:val="center"/>
          </w:tcPr>
          <w:p w14:paraId="3B2A3E05">
            <w:pPr>
              <w:widowControl/>
              <w:spacing w:line="500" w:lineRule="exact"/>
              <w:jc w:val="center"/>
              <w:rPr>
                <w:rFonts w:ascii="宋体" w:hAnsi="宋体" w:cs="宋体"/>
                <w:b/>
                <w:bCs/>
                <w:color w:val="000000"/>
                <w:sz w:val="24"/>
              </w:rPr>
            </w:pPr>
            <w:r>
              <w:rPr>
                <w:rFonts w:hint="eastAsia" w:ascii="宋体" w:hAnsi="宋体" w:cs="宋体"/>
                <w:b/>
                <w:bCs/>
                <w:color w:val="000000"/>
                <w:sz w:val="24"/>
              </w:rPr>
              <w:t>标的名称</w:t>
            </w:r>
          </w:p>
        </w:tc>
        <w:tc>
          <w:tcPr>
            <w:tcW w:w="1925" w:type="dxa"/>
            <w:tcBorders>
              <w:tl2br w:val="nil"/>
              <w:tr2bl w:val="nil"/>
            </w:tcBorders>
            <w:noWrap/>
            <w:vAlign w:val="center"/>
          </w:tcPr>
          <w:p w14:paraId="79971EF2">
            <w:pPr>
              <w:widowControl/>
              <w:spacing w:line="500" w:lineRule="exact"/>
              <w:jc w:val="center"/>
              <w:rPr>
                <w:rFonts w:ascii="宋体" w:hAnsi="宋体" w:cs="宋体"/>
                <w:b/>
                <w:bCs/>
                <w:color w:val="000000"/>
                <w:sz w:val="24"/>
              </w:rPr>
            </w:pPr>
            <w:r>
              <w:rPr>
                <w:rFonts w:hint="eastAsia" w:ascii="宋体" w:hAnsi="宋体" w:cs="宋体"/>
                <w:b/>
                <w:bCs/>
                <w:color w:val="000000"/>
                <w:sz w:val="24"/>
              </w:rPr>
              <w:t>限时报价期</w:t>
            </w:r>
          </w:p>
          <w:p w14:paraId="6F4A84E5">
            <w:pPr>
              <w:widowControl/>
              <w:spacing w:line="500" w:lineRule="exact"/>
              <w:jc w:val="center"/>
              <w:rPr>
                <w:rFonts w:ascii="宋体" w:hAnsi="宋体" w:cs="宋体"/>
                <w:color w:val="000000"/>
                <w:sz w:val="24"/>
              </w:rPr>
            </w:pPr>
            <w:r>
              <w:rPr>
                <w:rFonts w:hint="eastAsia" w:ascii="宋体" w:hAnsi="宋体" w:cs="宋体"/>
                <w:b/>
                <w:bCs/>
                <w:color w:val="000000"/>
                <w:sz w:val="24"/>
              </w:rPr>
              <w:t>开始时间</w:t>
            </w:r>
          </w:p>
        </w:tc>
        <w:tc>
          <w:tcPr>
            <w:tcW w:w="1949" w:type="dxa"/>
            <w:tcBorders>
              <w:tl2br w:val="nil"/>
              <w:tr2bl w:val="nil"/>
            </w:tcBorders>
            <w:noWrap/>
            <w:vAlign w:val="center"/>
          </w:tcPr>
          <w:p w14:paraId="02F47248">
            <w:pPr>
              <w:widowControl/>
              <w:spacing w:line="500" w:lineRule="exact"/>
              <w:jc w:val="center"/>
              <w:rPr>
                <w:rFonts w:ascii="宋体" w:hAnsi="宋体" w:cs="宋体"/>
                <w:b/>
                <w:bCs/>
                <w:color w:val="000000"/>
                <w:sz w:val="24"/>
              </w:rPr>
            </w:pPr>
            <w:r>
              <w:rPr>
                <w:rFonts w:hint="eastAsia" w:ascii="宋体" w:hAnsi="宋体" w:cs="宋体"/>
                <w:b/>
                <w:bCs/>
                <w:color w:val="000000"/>
                <w:sz w:val="24"/>
              </w:rPr>
              <w:t>限时报价期</w:t>
            </w:r>
          </w:p>
          <w:p w14:paraId="6B3B2CB2">
            <w:pPr>
              <w:widowControl/>
              <w:spacing w:line="500" w:lineRule="exact"/>
              <w:jc w:val="center"/>
              <w:rPr>
                <w:rFonts w:ascii="宋体" w:hAnsi="宋体" w:cs="宋体"/>
                <w:b/>
                <w:color w:val="000000"/>
                <w:kern w:val="0"/>
                <w:sz w:val="24"/>
              </w:rPr>
            </w:pPr>
            <w:r>
              <w:rPr>
                <w:rFonts w:hint="eastAsia" w:ascii="宋体" w:hAnsi="宋体" w:cs="宋体"/>
                <w:b/>
                <w:bCs/>
                <w:color w:val="000000"/>
                <w:sz w:val="24"/>
              </w:rPr>
              <w:t>结束时间</w:t>
            </w:r>
          </w:p>
        </w:tc>
        <w:tc>
          <w:tcPr>
            <w:tcW w:w="1951" w:type="dxa"/>
            <w:tcBorders>
              <w:tl2br w:val="nil"/>
              <w:tr2bl w:val="nil"/>
            </w:tcBorders>
            <w:noWrap/>
            <w:vAlign w:val="center"/>
          </w:tcPr>
          <w:p w14:paraId="235AA2C6">
            <w:pPr>
              <w:widowControl/>
              <w:spacing w:line="500" w:lineRule="exact"/>
              <w:jc w:val="center"/>
              <w:rPr>
                <w:rFonts w:ascii="宋体" w:hAnsi="宋体" w:cs="宋体"/>
                <w:b/>
                <w:bCs/>
                <w:color w:val="000000"/>
                <w:sz w:val="24"/>
              </w:rPr>
            </w:pPr>
            <w:r>
              <w:rPr>
                <w:rFonts w:hint="eastAsia" w:ascii="宋体" w:hAnsi="宋体" w:cs="宋体"/>
                <w:b/>
                <w:bCs/>
                <w:color w:val="000000"/>
                <w:sz w:val="24"/>
              </w:rPr>
              <w:t>延时报价期</w:t>
            </w:r>
          </w:p>
          <w:p w14:paraId="0B95FBDC">
            <w:pPr>
              <w:widowControl/>
              <w:spacing w:line="500" w:lineRule="exact"/>
              <w:jc w:val="center"/>
              <w:rPr>
                <w:rFonts w:ascii="宋体" w:hAnsi="宋体" w:cs="宋体"/>
                <w:b/>
                <w:bCs/>
                <w:color w:val="000000"/>
                <w:sz w:val="24"/>
              </w:rPr>
            </w:pPr>
            <w:r>
              <w:rPr>
                <w:rFonts w:hint="eastAsia" w:ascii="宋体" w:hAnsi="宋体" w:cs="宋体"/>
                <w:b/>
                <w:bCs/>
                <w:color w:val="000000"/>
                <w:sz w:val="24"/>
              </w:rPr>
              <w:t>开始时间</w:t>
            </w:r>
          </w:p>
        </w:tc>
        <w:tc>
          <w:tcPr>
            <w:tcW w:w="1240" w:type="dxa"/>
            <w:tcBorders>
              <w:tl2br w:val="nil"/>
              <w:tr2bl w:val="nil"/>
            </w:tcBorders>
            <w:noWrap/>
            <w:vAlign w:val="center"/>
          </w:tcPr>
          <w:p w14:paraId="0C5127D7">
            <w:pPr>
              <w:widowControl/>
              <w:spacing w:line="500" w:lineRule="exact"/>
              <w:jc w:val="center"/>
              <w:rPr>
                <w:rFonts w:ascii="宋体" w:hAnsi="宋体" w:cs="宋体"/>
                <w:b/>
                <w:bCs/>
                <w:color w:val="000000"/>
                <w:sz w:val="24"/>
              </w:rPr>
            </w:pPr>
            <w:r>
              <w:rPr>
                <w:rFonts w:hint="eastAsia" w:ascii="宋体" w:hAnsi="宋体" w:cs="宋体"/>
                <w:b/>
                <w:bCs/>
                <w:color w:val="000000"/>
                <w:sz w:val="24"/>
              </w:rPr>
              <w:t>延时报价周期时间</w:t>
            </w:r>
          </w:p>
        </w:tc>
      </w:tr>
      <w:tr w14:paraId="10BA39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3" w:hRule="atLeast"/>
          <w:jc w:val="center"/>
        </w:trPr>
        <w:tc>
          <w:tcPr>
            <w:tcW w:w="2085" w:type="dxa"/>
            <w:tcBorders>
              <w:tl2br w:val="nil"/>
              <w:tr2bl w:val="nil"/>
            </w:tcBorders>
            <w:noWrap/>
            <w:vAlign w:val="center"/>
          </w:tcPr>
          <w:p w14:paraId="12C87132">
            <w:pPr>
              <w:widowControl/>
              <w:spacing w:line="500" w:lineRule="exact"/>
              <w:jc w:val="center"/>
              <w:rPr>
                <w:rFonts w:eastAsia="宋体" w:cs="Times New Roman"/>
              </w:rPr>
            </w:pPr>
            <w:r>
              <w:rPr>
                <w:rFonts w:hint="eastAsia" w:eastAsia="宋体" w:cs="Times New Roman"/>
              </w:rPr>
              <w:t>邵武市邵武市水北镇</w:t>
            </w:r>
            <w:r>
              <w:rPr>
                <w:rFonts w:hint="eastAsia" w:eastAsia="宋体" w:cs="Times New Roman"/>
                <w:lang w:eastAsia="zh-CN"/>
              </w:rPr>
              <w:t>王亭村溪西组新安</w:t>
            </w:r>
            <w:r>
              <w:rPr>
                <w:rFonts w:hint="eastAsia" w:eastAsia="宋体" w:cs="Times New Roman"/>
                <w:highlight w:val="yellow"/>
                <w:lang w:eastAsia="zh-CN"/>
              </w:rPr>
              <w:t>（外）</w:t>
            </w:r>
            <w:r>
              <w:rPr>
                <w:rFonts w:hint="eastAsia" w:eastAsia="宋体" w:cs="Times New Roman"/>
              </w:rPr>
              <w:t>林地使用权</w:t>
            </w:r>
          </w:p>
        </w:tc>
        <w:tc>
          <w:tcPr>
            <w:tcW w:w="1925" w:type="dxa"/>
            <w:tcBorders>
              <w:tl2br w:val="nil"/>
              <w:tr2bl w:val="nil"/>
            </w:tcBorders>
            <w:noWrap/>
            <w:vAlign w:val="center"/>
          </w:tcPr>
          <w:p w14:paraId="608F08CE">
            <w:pPr>
              <w:spacing w:line="500" w:lineRule="exact"/>
              <w:jc w:val="center"/>
            </w:pPr>
            <w:r>
              <w:rPr>
                <w:rFonts w:hint="eastAsia"/>
              </w:rPr>
              <w:t>202</w:t>
            </w:r>
            <w:r>
              <w:rPr>
                <w:rFonts w:hint="eastAsia"/>
                <w:lang w:val="en-US" w:eastAsia="zh-CN"/>
              </w:rPr>
              <w:t>5</w:t>
            </w:r>
            <w:r>
              <w:rPr>
                <w:rFonts w:hint="eastAsia"/>
              </w:rPr>
              <w:t>年  月  日</w:t>
            </w:r>
          </w:p>
          <w:p w14:paraId="5A6816EA">
            <w:pPr>
              <w:spacing w:line="500" w:lineRule="exact"/>
              <w:jc w:val="center"/>
              <w:rPr>
                <w:rFonts w:ascii="Calibri" w:hAnsi="Calibri" w:eastAsia="宋体" w:cs="Times New Roman"/>
              </w:rPr>
            </w:pPr>
            <w:r>
              <w:rPr>
                <w:rFonts w:hint="eastAsia"/>
              </w:rPr>
              <w:t>9：00时</w:t>
            </w:r>
          </w:p>
        </w:tc>
        <w:tc>
          <w:tcPr>
            <w:tcW w:w="1949" w:type="dxa"/>
            <w:tcBorders>
              <w:tl2br w:val="nil"/>
              <w:tr2bl w:val="nil"/>
            </w:tcBorders>
            <w:noWrap/>
            <w:vAlign w:val="center"/>
          </w:tcPr>
          <w:p w14:paraId="3911B9E4">
            <w:pPr>
              <w:spacing w:line="500" w:lineRule="exact"/>
              <w:jc w:val="center"/>
              <w:rPr>
                <w:rFonts w:ascii="Calibri" w:hAnsi="Calibri" w:eastAsia="宋体" w:cs="Times New Roman"/>
                <w:szCs w:val="21"/>
              </w:rPr>
            </w:pPr>
            <w:r>
              <w:rPr>
                <w:rFonts w:hint="eastAsia"/>
                <w:szCs w:val="21"/>
              </w:rPr>
              <w:t>202</w:t>
            </w:r>
            <w:r>
              <w:rPr>
                <w:rFonts w:hint="eastAsia"/>
                <w:szCs w:val="21"/>
                <w:lang w:val="en-US" w:eastAsia="zh-CN"/>
              </w:rPr>
              <w:t>5</w:t>
            </w:r>
            <w:r>
              <w:rPr>
                <w:rFonts w:hint="eastAsia"/>
                <w:szCs w:val="21"/>
              </w:rPr>
              <w:t>年  月  日11：00时</w:t>
            </w:r>
          </w:p>
        </w:tc>
        <w:tc>
          <w:tcPr>
            <w:tcW w:w="1951" w:type="dxa"/>
            <w:tcBorders>
              <w:tl2br w:val="nil"/>
              <w:tr2bl w:val="nil"/>
            </w:tcBorders>
            <w:noWrap/>
            <w:vAlign w:val="center"/>
          </w:tcPr>
          <w:p w14:paraId="5713F5BE">
            <w:pPr>
              <w:spacing w:line="500" w:lineRule="exact"/>
              <w:jc w:val="center"/>
              <w:rPr>
                <w:rFonts w:ascii="Calibri" w:hAnsi="Calibri" w:eastAsia="宋体" w:cs="Times New Roman"/>
                <w:szCs w:val="21"/>
              </w:rPr>
            </w:pPr>
            <w:r>
              <w:rPr>
                <w:rFonts w:hint="eastAsia"/>
                <w:szCs w:val="21"/>
              </w:rPr>
              <w:t>202</w:t>
            </w:r>
            <w:r>
              <w:rPr>
                <w:rFonts w:hint="eastAsia"/>
                <w:szCs w:val="21"/>
                <w:lang w:val="en-US" w:eastAsia="zh-CN"/>
              </w:rPr>
              <w:t>5</w:t>
            </w:r>
            <w:r>
              <w:rPr>
                <w:rFonts w:hint="eastAsia"/>
                <w:szCs w:val="21"/>
              </w:rPr>
              <w:t>年</w:t>
            </w:r>
            <w:r>
              <w:rPr>
                <w:rFonts w:hint="eastAsia"/>
              </w:rPr>
              <w:t xml:space="preserve">  月  日</w:t>
            </w:r>
            <w:r>
              <w:rPr>
                <w:rFonts w:hint="eastAsia"/>
                <w:szCs w:val="21"/>
              </w:rPr>
              <w:t>11：00时</w:t>
            </w:r>
          </w:p>
        </w:tc>
        <w:tc>
          <w:tcPr>
            <w:tcW w:w="1240" w:type="dxa"/>
            <w:tcBorders>
              <w:tl2br w:val="nil"/>
              <w:tr2bl w:val="nil"/>
            </w:tcBorders>
            <w:noWrap/>
            <w:vAlign w:val="center"/>
          </w:tcPr>
          <w:p w14:paraId="701184F3">
            <w:pPr>
              <w:spacing w:line="500" w:lineRule="exact"/>
              <w:jc w:val="center"/>
              <w:rPr>
                <w:rFonts w:ascii="Calibri" w:hAnsi="Calibri" w:eastAsia="宋体" w:cs="Times New Roman"/>
                <w:szCs w:val="21"/>
              </w:rPr>
            </w:pPr>
            <w:r>
              <w:rPr>
                <w:rFonts w:hint="eastAsia"/>
                <w:szCs w:val="21"/>
              </w:rPr>
              <w:t>90秒</w:t>
            </w:r>
          </w:p>
        </w:tc>
      </w:tr>
    </w:tbl>
    <w:p w14:paraId="093BE5A2">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7</w:t>
      </w:r>
      <w:r>
        <w:rPr>
          <w:rFonts w:ascii="宋体" w:hAnsi="宋体" w:eastAsia="宋体" w:cs="宋体"/>
          <w:b/>
          <w:sz w:val="28"/>
          <w:szCs w:val="28"/>
        </w:rPr>
        <w:t>、报价结果通知</w:t>
      </w:r>
    </w:p>
    <w:p w14:paraId="74B62E3A">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竞价结束后，经组织方审核无误后，组织方在竞价结束后3个工作日发布交易结果公示，公示时间为7个自然日。</w:t>
      </w:r>
    </w:p>
    <w:p w14:paraId="207A9175">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8</w:t>
      </w:r>
      <w:r>
        <w:rPr>
          <w:rFonts w:ascii="宋体" w:hAnsi="宋体" w:eastAsia="宋体" w:cs="宋体"/>
          <w:b/>
          <w:sz w:val="28"/>
          <w:szCs w:val="28"/>
        </w:rPr>
        <w:t>、文件签署</w:t>
      </w:r>
    </w:p>
    <w:p w14:paraId="15BF8720">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受让</w:t>
      </w:r>
      <w:r>
        <w:rPr>
          <w:rFonts w:hint="eastAsia" w:ascii="宋体" w:hAnsi="宋体"/>
          <w:color w:val="000000"/>
          <w:kern w:val="0"/>
          <w:sz w:val="28"/>
          <w:szCs w:val="28"/>
        </w:rPr>
        <w:t>方须</w:t>
      </w:r>
      <w:r>
        <w:rPr>
          <w:rFonts w:hint="eastAsia" w:ascii="宋体" w:hAnsi="宋体"/>
          <w:color w:val="000000"/>
          <w:kern w:val="0"/>
          <w:sz w:val="28"/>
          <w:szCs w:val="28"/>
          <w:shd w:val="clear" w:color="auto" w:fill="FFFFFF"/>
        </w:rPr>
        <w:t>于标的竞价成交之日起3个工作日内</w:t>
      </w:r>
      <w:r>
        <w:rPr>
          <w:rFonts w:hint="eastAsia" w:ascii="宋体" w:hAnsi="宋体"/>
          <w:color w:val="000000"/>
          <w:kern w:val="0"/>
          <w:sz w:val="28"/>
          <w:szCs w:val="28"/>
        </w:rPr>
        <w:t>签署《成交确认书》。</w:t>
      </w:r>
      <w:r>
        <w:rPr>
          <w:rFonts w:ascii="宋体" w:hAnsi="宋体" w:eastAsia="宋体" w:cs="宋体"/>
          <w:bCs/>
          <w:sz w:val="28"/>
          <w:szCs w:val="28"/>
        </w:rPr>
        <w:t>出、受让双方须于标的交易结果公示结束之日起5个工作日签署</w:t>
      </w:r>
      <w:r>
        <w:rPr>
          <w:rFonts w:hint="eastAsia" w:ascii="宋体" w:hAnsi="宋体" w:eastAsia="宋体" w:cs="宋体"/>
          <w:bCs/>
          <w:sz w:val="28"/>
          <w:szCs w:val="28"/>
        </w:rPr>
        <w:t>《林地经营权出让合同书》</w:t>
      </w:r>
      <w:r>
        <w:rPr>
          <w:rFonts w:ascii="宋体" w:hAnsi="宋体" w:eastAsia="宋体" w:cs="宋体"/>
          <w:bCs/>
          <w:sz w:val="28"/>
          <w:szCs w:val="28"/>
        </w:rPr>
        <w:t>，并根据</w:t>
      </w:r>
      <w:r>
        <w:rPr>
          <w:rFonts w:hint="eastAsia" w:ascii="宋体" w:hAnsi="宋体" w:eastAsia="宋体" w:cs="宋体"/>
          <w:bCs/>
          <w:sz w:val="28"/>
          <w:szCs w:val="28"/>
        </w:rPr>
        <w:t>《林地经营权出让合同书》</w:t>
      </w:r>
      <w:r>
        <w:rPr>
          <w:rFonts w:ascii="宋体" w:hAnsi="宋体" w:eastAsia="宋体" w:cs="宋体"/>
          <w:bCs/>
          <w:sz w:val="28"/>
          <w:szCs w:val="28"/>
        </w:rPr>
        <w:t>交纳合同</w:t>
      </w:r>
      <w:r>
        <w:rPr>
          <w:rFonts w:hint="eastAsia" w:ascii="宋体" w:hAnsi="宋体" w:eastAsia="宋体" w:cs="宋体"/>
          <w:bCs/>
          <w:sz w:val="28"/>
          <w:szCs w:val="28"/>
        </w:rPr>
        <w:t>交易价款</w:t>
      </w:r>
      <w:r>
        <w:rPr>
          <w:rFonts w:ascii="宋体" w:hAnsi="宋体" w:eastAsia="宋体" w:cs="宋体"/>
          <w:bCs/>
          <w:sz w:val="28"/>
          <w:szCs w:val="28"/>
        </w:rPr>
        <w:t>和履约保证金，否则竞价保证金不予返还。</w:t>
      </w:r>
    </w:p>
    <w:p w14:paraId="3A82CF9A">
      <w:p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9</w:t>
      </w:r>
      <w:r>
        <w:rPr>
          <w:rFonts w:ascii="宋体" w:hAnsi="宋体" w:eastAsia="宋体" w:cs="宋体"/>
          <w:bCs/>
          <w:sz w:val="28"/>
          <w:szCs w:val="28"/>
        </w:rPr>
        <w:t>、</w:t>
      </w:r>
      <w:r>
        <w:rPr>
          <w:rFonts w:hint="eastAsia" w:ascii="宋体" w:hAnsi="宋体" w:eastAsia="宋体" w:cs="宋体"/>
          <w:bCs/>
          <w:sz w:val="28"/>
          <w:szCs w:val="28"/>
        </w:rPr>
        <w:t>意向受让方</w:t>
      </w:r>
      <w:r>
        <w:rPr>
          <w:rFonts w:ascii="宋体" w:hAnsi="宋体" w:eastAsia="宋体" w:cs="宋体"/>
          <w:bCs/>
          <w:sz w:val="28"/>
          <w:szCs w:val="28"/>
        </w:rPr>
        <w:t>在实际操作过程中如有疑问可直接拨打福建省产权交易中心电话：0591-87855200、87821179、87315276、87845911进行咨询。</w:t>
      </w:r>
    </w:p>
    <w:p w14:paraId="14ED0EB0">
      <w:pPr>
        <w:spacing w:line="500" w:lineRule="exact"/>
        <w:rPr>
          <w:rFonts w:ascii="宋体" w:hAnsi="宋体" w:eastAsia="宋体" w:cs="Times New Roman"/>
          <w:b/>
          <w:sz w:val="28"/>
          <w:szCs w:val="28"/>
        </w:rPr>
      </w:pPr>
      <w:r>
        <w:rPr>
          <w:rFonts w:ascii="宋体" w:hAnsi="宋体" w:eastAsia="宋体" w:cs="Times New Roman"/>
          <w:b/>
          <w:sz w:val="28"/>
          <w:szCs w:val="28"/>
        </w:rPr>
        <w:t>十</w:t>
      </w:r>
      <w:r>
        <w:rPr>
          <w:rFonts w:hint="eastAsia" w:ascii="宋体" w:hAnsi="宋体" w:eastAsia="宋体" w:cs="Times New Roman"/>
          <w:b/>
          <w:sz w:val="28"/>
          <w:szCs w:val="28"/>
        </w:rPr>
        <w:t>一</w:t>
      </w:r>
      <w:r>
        <w:rPr>
          <w:rFonts w:ascii="宋体" w:hAnsi="宋体" w:eastAsia="宋体" w:cs="Times New Roman"/>
          <w:b/>
          <w:sz w:val="28"/>
          <w:szCs w:val="28"/>
        </w:rPr>
        <w:t>、成交价款及交易</w:t>
      </w:r>
      <w:r>
        <w:rPr>
          <w:rFonts w:hint="eastAsia" w:ascii="宋体" w:hAnsi="宋体" w:eastAsia="宋体" w:cs="Times New Roman"/>
          <w:b/>
          <w:sz w:val="28"/>
          <w:szCs w:val="28"/>
        </w:rPr>
        <w:t>相关事宜</w:t>
      </w:r>
    </w:p>
    <w:p w14:paraId="6B43DFE3">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 xml:space="preserve"> 1、交易服务费</w:t>
      </w:r>
    </w:p>
    <w:p w14:paraId="1DFFD942">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在本次标的竞价成交后，受让方应以合同成交总金额</w:t>
      </w:r>
      <w:r>
        <w:rPr>
          <w:rFonts w:hint="eastAsia" w:ascii="宋体" w:hAnsi="宋体" w:eastAsia="宋体" w:cs="宋体"/>
          <w:bCs/>
          <w:sz w:val="28"/>
          <w:szCs w:val="28"/>
        </w:rPr>
        <w:t>为基数</w:t>
      </w:r>
      <w:r>
        <w:rPr>
          <w:rFonts w:ascii="宋体" w:hAnsi="宋体" w:eastAsia="宋体" w:cs="宋体"/>
          <w:bCs/>
          <w:sz w:val="28"/>
          <w:szCs w:val="28"/>
        </w:rPr>
        <w:t>按如下标准</w:t>
      </w:r>
      <w:r>
        <w:rPr>
          <w:rFonts w:hint="eastAsia" w:ascii="宋体" w:hAnsi="宋体" w:eastAsia="宋体" w:cs="宋体"/>
          <w:bCs/>
          <w:sz w:val="28"/>
          <w:szCs w:val="28"/>
        </w:rPr>
        <w:t>实行</w:t>
      </w:r>
      <w:r>
        <w:rPr>
          <w:rFonts w:ascii="宋体" w:hAnsi="宋体" w:eastAsia="宋体" w:cs="宋体"/>
          <w:bCs/>
          <w:sz w:val="28"/>
          <w:szCs w:val="28"/>
        </w:rPr>
        <w:t>差额累进计算向福建省产权交易中心支付交易服务费。交易服务费分档差额累进计算标准：</w:t>
      </w:r>
      <w:r>
        <w:rPr>
          <w:rFonts w:ascii="宋体" w:hAnsi="宋体" w:eastAsia="宋体" w:cs="宋体"/>
          <w:b/>
          <w:sz w:val="28"/>
          <w:szCs w:val="28"/>
        </w:rPr>
        <w:t>【100万以下(含100万元)的费率为0.7%；100-500万元部分（含500万元）的费率为0.48%；500-1000万元部分（含1000万元）的费率为0.28%；1000-5000万元部分（含5000万元）的费率为0.16%；5000万元以上的费率为0.08%】。</w:t>
      </w:r>
    </w:p>
    <w:p w14:paraId="4B6F44A3">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上述交易服务费应在标的竞价成功后三个工作日内支付给组织方或由组织方从受让方的竞价保证金中直接扣除。</w:t>
      </w:r>
    </w:p>
    <w:p w14:paraId="0F15D019">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 xml:space="preserve"> 2、交易项目移交。出、受让双方按</w:t>
      </w:r>
      <w:r>
        <w:rPr>
          <w:rFonts w:hint="eastAsia" w:ascii="宋体" w:hAnsi="宋体" w:eastAsia="宋体" w:cs="宋体"/>
          <w:bCs/>
          <w:sz w:val="28"/>
          <w:szCs w:val="28"/>
        </w:rPr>
        <w:t>《农村土地经营权出让合同》</w:t>
      </w:r>
      <w:r>
        <w:rPr>
          <w:rFonts w:ascii="宋体" w:hAnsi="宋体" w:eastAsia="宋体" w:cs="宋体"/>
          <w:bCs/>
          <w:sz w:val="28"/>
          <w:szCs w:val="28"/>
        </w:rPr>
        <w:t>约定进行移交。</w:t>
      </w:r>
    </w:p>
    <w:p w14:paraId="76B7BF6C">
      <w:pPr>
        <w:spacing w:line="500" w:lineRule="exact"/>
        <w:ind w:firstLine="560" w:firstLineChars="200"/>
        <w:rPr>
          <w:rFonts w:ascii="宋体" w:hAnsi="宋体" w:eastAsia="宋体" w:cs="宋体"/>
          <w:bCs/>
          <w:sz w:val="28"/>
          <w:szCs w:val="28"/>
        </w:rPr>
      </w:pPr>
      <w:r>
        <w:rPr>
          <w:rFonts w:ascii="宋体" w:hAnsi="宋体" w:eastAsia="宋体" w:cs="宋体"/>
          <w:bCs/>
          <w:sz w:val="28"/>
          <w:szCs w:val="28"/>
        </w:rPr>
        <w:t xml:space="preserve"> 3、凭证提供。交易项目成交后，组织方除向受让方提供《农村产权交易鉴证书》和交易服务费发票外，不再提供有关交易项目的其他单证。</w:t>
      </w:r>
    </w:p>
    <w:p w14:paraId="1032F59F">
      <w:pPr>
        <w:spacing w:before="200" w:after="200" w:line="500" w:lineRule="exact"/>
        <w:rPr>
          <w:rFonts w:ascii="宋体" w:hAnsi="宋体" w:eastAsia="宋体" w:cs="Times New Roman"/>
          <w:b/>
          <w:sz w:val="28"/>
          <w:szCs w:val="28"/>
        </w:rPr>
      </w:pPr>
      <w:r>
        <w:rPr>
          <w:rFonts w:hint="eastAsia" w:ascii="宋体" w:hAnsi="宋体" w:eastAsia="宋体" w:cs="Times New Roman"/>
          <w:b/>
          <w:sz w:val="28"/>
          <w:szCs w:val="28"/>
        </w:rPr>
        <w:t>十二、若非出让方原因，意向受让方、受让方发生下列任何情况之一时，组织方将取消其报价资格或受让资格，其交纳的竞价保证金不予返还，该笔竞价保证金扣除应当付给组织方的交易服务费后的余额归出让方所有，并将其列入惩戒或失信黑名单；且包括但不限于下列任何情况之一及意向受让方（受让方）实施的任何行为给组织方、出让方造成损失或造成组织方、出让方被第三人索赔或主张任何权利的，意向受让方（受让方）应无条件全额赔偿或补偿组织方、出让方的损失及由此产生的一切费用(包括但不限于各种赔偿费、罚款（金）、诉讼（仲裁）案件受理费、诉讼（仲裁）代理费及为此支出的其它合理费用。</w:t>
      </w:r>
    </w:p>
    <w:p w14:paraId="6C501680">
      <w:pPr>
        <w:spacing w:line="500" w:lineRule="exact"/>
        <w:ind w:firstLine="562" w:firstLineChars="200"/>
        <w:rPr>
          <w:rFonts w:ascii="宋体" w:hAnsi="宋体" w:eastAsia="宋体" w:cs="宋体"/>
          <w:b/>
          <w:sz w:val="28"/>
          <w:szCs w:val="28"/>
          <w:u w:val="single"/>
        </w:rPr>
      </w:pPr>
      <w:r>
        <w:rPr>
          <w:rFonts w:hint="eastAsia" w:ascii="宋体" w:hAnsi="宋体" w:eastAsia="宋体" w:cs="宋体"/>
          <w:b/>
          <w:sz w:val="28"/>
          <w:szCs w:val="28"/>
          <w:u w:val="single"/>
        </w:rPr>
        <w:t xml:space="preserve">1、所有资格审查合格的意向受让方未报价或未以不低于挂牌价报价，且未有其他意向受让方实施有效报价的； </w:t>
      </w:r>
    </w:p>
    <w:p w14:paraId="75D16F01">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2、意向受让方出于限制竞争的目的而与其他意向受让方协商、合谋或以其他方式而形成的报价；</w:t>
      </w:r>
    </w:p>
    <w:p w14:paraId="6BCE5E54">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3、意向受让方对出让方或任何相关人员有施加影响或行贿，或采用不正当竞争手段等行为，影响本项目公正性的；</w:t>
      </w:r>
    </w:p>
    <w:p w14:paraId="4BA7B89A">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4、意向受让方未按要求签署本次交易项目的《农村土地经营权出让合同》等相关文件的；</w:t>
      </w:r>
    </w:p>
    <w:p w14:paraId="2BFD1952">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 xml:space="preserve">5、意向受让方在报名资格审查期间或成为受让方后反悔，要求撤回其已提交的相关文件或对已确认的相关文件（包括交易项目质量、现状等）提出异议的； </w:t>
      </w:r>
    </w:p>
    <w:p w14:paraId="2C55160D">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6、本次竞价文件规定的其他情形。</w:t>
      </w:r>
    </w:p>
    <w:p w14:paraId="4C22E295">
      <w:pPr>
        <w:spacing w:line="500" w:lineRule="exact"/>
        <w:rPr>
          <w:rFonts w:ascii="宋体" w:hAnsi="宋体" w:eastAsia="宋体" w:cs="Times New Roman"/>
          <w:b/>
          <w:sz w:val="28"/>
          <w:szCs w:val="28"/>
        </w:rPr>
      </w:pPr>
      <w:r>
        <w:rPr>
          <w:rFonts w:hint="eastAsia" w:ascii="宋体" w:hAnsi="宋体" w:eastAsia="宋体" w:cs="Times New Roman"/>
          <w:b/>
          <w:sz w:val="28"/>
          <w:szCs w:val="28"/>
        </w:rPr>
        <w:t>十三、特别声明</w:t>
      </w:r>
    </w:p>
    <w:p w14:paraId="26B4166E">
      <w:p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1、意向受让方交纳竞价保证金及按照组织方要求提交相关报名材料即表明认可组织方通过第四产权网络交易平台：http://www.dscq.com/竞价专场公开转让的交易方式，不可撤销地放弃对此提出任何异议或任何索赔的权利。</w:t>
      </w:r>
    </w:p>
    <w:p w14:paraId="3AE2382E">
      <w:p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2、组织方不提供任何网络终端设备。意向受让方的用户名及密码等安全性及保密性由意向受让方自行负责，并自行承担由此带来的一切经济损失和法律责任。</w:t>
      </w:r>
    </w:p>
    <w:p w14:paraId="185C030C">
      <w:p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3、意向受让方在交纳交易资金时，若因自身漏填、错填、不规范填报、不及时补报系统提供的识别码或其他与项目资金匹配相关的信息等原因造成在规定时间内无法及时参与交易，所引发的后果由意向受让方自行负责。</w:t>
      </w:r>
    </w:p>
    <w:p w14:paraId="38090864">
      <w:p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4、意向受让方应遵守农村产权交易相关规则，每个注册账户仅供一位意向受让方使用。凡使用该账户所进行的一切报价，均视为意向受让方亲自办理，报价与交易结果由该意向受让方承担全部责任。</w:t>
      </w:r>
    </w:p>
    <w:p w14:paraId="051351B5">
      <w:p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5、因</w:t>
      </w:r>
      <w:r>
        <w:rPr>
          <w:rFonts w:hint="eastAsia" w:ascii="宋体" w:hAnsi="宋体" w:cs="宋体"/>
          <w:sz w:val="28"/>
          <w:szCs w:val="28"/>
        </w:rPr>
        <w:t>第四产权网络竞价平台故障或第四产权故意（或过失）</w:t>
      </w:r>
      <w:r>
        <w:rPr>
          <w:rFonts w:hint="eastAsia" w:ascii="宋体" w:hAnsi="宋体" w:eastAsia="宋体" w:cs="宋体"/>
          <w:bCs/>
          <w:sz w:val="28"/>
          <w:szCs w:val="28"/>
        </w:rPr>
        <w:t>致使意向受让方（受让方）遭受损失和网络竞价活动产生争议的，组织方不承担任何责任。</w:t>
      </w:r>
    </w:p>
    <w:p w14:paraId="3176DE39">
      <w:p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7、意向受让方应当在报价前充分了解交易项目的现状，一旦报名并交纳竞价保证金即视为意向受让方完全理解并同意放弃对交易项目现状方面有不明及误解的权利，自愿承担由于对转让项目了解不细或对潜在的风险估计不足等引起的一切责任和后果（包括但不限于因受让方的原因造成无法转移），并愿对自己参加报价的行为负完全责任。</w:t>
      </w:r>
    </w:p>
    <w:p w14:paraId="7B0C6713">
      <w:p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8、出让方所作的关于本交易项目介绍及相关资料仅供意向受让方参考，出让方和组织方对其不做担保。介绍的品质与实际有差异，成交价和交易服务费不作调整。出让方对交易项目所做的价值评估等材料仅为出让方内部参考材料，不作为本交易项目合同依据，意向受让方不得以该资料主张合同无效、可撤销或解除，且不得以此主张调整交易价格和服务费。</w:t>
      </w:r>
    </w:p>
    <w:p w14:paraId="3D9816C3">
      <w:pPr>
        <w:spacing w:line="500" w:lineRule="exact"/>
        <w:ind w:firstLine="560" w:firstLineChars="200"/>
        <w:rPr>
          <w:rFonts w:ascii="宋体" w:hAnsi="宋体" w:eastAsia="宋体" w:cs="宋体"/>
          <w:bCs/>
          <w:sz w:val="28"/>
          <w:szCs w:val="28"/>
        </w:rPr>
      </w:pPr>
      <w:r>
        <w:rPr>
          <w:rFonts w:hint="eastAsia" w:ascii="宋体" w:hAnsi="宋体" w:eastAsia="宋体" w:cs="宋体"/>
          <w:bCs/>
          <w:sz w:val="28"/>
          <w:szCs w:val="28"/>
        </w:rPr>
        <w:t>9、如果发现（不论在报价前或成交后）意向受让方（受让方）在提交的文件中有故意隐瞒或存在与本次报价活动要求有严重不符的重大事实，将取消其参与报价资格或受让资格，且其交纳的竞价保证金不予返还。</w:t>
      </w:r>
    </w:p>
    <w:p w14:paraId="78B82B3A">
      <w:pPr>
        <w:spacing w:line="500" w:lineRule="exact"/>
        <w:ind w:firstLine="562" w:firstLineChars="200"/>
        <w:rPr>
          <w:rFonts w:ascii="宋体" w:hAnsi="宋体" w:eastAsia="宋体" w:cs="宋体"/>
          <w:b/>
          <w:sz w:val="28"/>
          <w:szCs w:val="28"/>
          <w:u w:val="single"/>
        </w:rPr>
      </w:pPr>
      <w:r>
        <w:rPr>
          <w:rFonts w:hint="eastAsia" w:ascii="宋体" w:hAnsi="宋体" w:eastAsia="宋体" w:cs="宋体"/>
          <w:b/>
          <w:sz w:val="28"/>
          <w:szCs w:val="28"/>
          <w:u w:val="single"/>
        </w:rPr>
        <w:t>10、组织方将各类通知要求、及法律文件等送达至意向受让方（受让方）确认的《</w:t>
      </w:r>
      <w:r>
        <w:rPr>
          <w:rFonts w:hint="eastAsia"/>
          <w:b/>
          <w:sz w:val="28"/>
          <w:szCs w:val="28"/>
          <w:u w:val="single"/>
        </w:rPr>
        <w:t>农村产权受让申请登记表</w:t>
      </w:r>
      <w:r>
        <w:rPr>
          <w:rFonts w:hint="eastAsia" w:ascii="宋体" w:hAnsi="宋体" w:eastAsia="宋体" w:cs="宋体"/>
          <w:b/>
          <w:sz w:val="28"/>
          <w:szCs w:val="28"/>
          <w:u w:val="single"/>
        </w:rPr>
        <w:t>》中联系方式之一即为有效送达(其中:如采用手机短信送递的，以组织方人员手机号码(13559129163)发送的手机短信发送之时即为送达:如采用电子邮件方式送递的，以组织方邮箱(jyyb@fjcqjy.com)发送的邮件显示成功到达意向受让方（受让方）确认的邮箱时即为送达:如采用邮寄方式送递的，以组织方按照意向受让方（受让方）确认的地址寄出信件满三个日历日即被视为送达:如采用专人送递，在交付后即被视为送达)。</w:t>
      </w:r>
    </w:p>
    <w:p w14:paraId="119CF6C6">
      <w:pPr>
        <w:spacing w:line="500" w:lineRule="exact"/>
        <w:ind w:firstLine="562" w:firstLineChars="200"/>
        <w:rPr>
          <w:rFonts w:ascii="宋体" w:hAnsi="宋体" w:eastAsia="宋体" w:cs="宋体"/>
          <w:b/>
          <w:sz w:val="28"/>
          <w:szCs w:val="28"/>
          <w:u w:val="single"/>
        </w:rPr>
      </w:pPr>
      <w:r>
        <w:rPr>
          <w:rFonts w:hint="eastAsia" w:ascii="宋体" w:hAnsi="宋体" w:eastAsia="宋体" w:cs="宋体"/>
          <w:b/>
          <w:sz w:val="28"/>
          <w:szCs w:val="28"/>
          <w:u w:val="single"/>
        </w:rPr>
        <w:t>11、意向受让方（受让方）签署《农村产权受让申请登记表》后对于组织方在组织本项目竞价、交易过程中任何发出且要求回复的函件、通知等文件应在送达意向受让方（受让方）后应及时或根据上述函件、通知等文件要求的时限予以回复，不子回复或逾期回复的，视为被送达方对组织方发出的函件、通知等文件的内容及所相关事项表示同意。</w:t>
      </w:r>
    </w:p>
    <w:p w14:paraId="3938D809">
      <w:pPr>
        <w:spacing w:before="200" w:after="200" w:line="500" w:lineRule="exact"/>
        <w:rPr>
          <w:rFonts w:ascii="宋体" w:hAnsi="宋体" w:eastAsia="宋体" w:cs="Times New Roman"/>
          <w:b/>
          <w:sz w:val="28"/>
          <w:szCs w:val="28"/>
        </w:rPr>
      </w:pPr>
      <w:r>
        <w:rPr>
          <w:rFonts w:hint="eastAsia" w:ascii="宋体" w:hAnsi="宋体" w:eastAsia="宋体" w:cs="Times New Roman"/>
          <w:b/>
          <w:sz w:val="28"/>
          <w:szCs w:val="28"/>
        </w:rPr>
        <w:t>十四、交易风险提示</w:t>
      </w:r>
    </w:p>
    <w:p w14:paraId="3E568E1D">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意向受让方了解并同意，任何通过组织方进行的交易并不能必然避免以下风险的产生，组织方没有义务为如下风险负责。意向受让方应依赖于自己独立判断进行交易，并对自己做出的判断承担全部责任:</w:t>
      </w:r>
    </w:p>
    <w:p w14:paraId="2A7D4B45">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1、宏观经济风险:因宏观经济形势变化，可能引起价格等方面的异常波动，意向受让方有可能遭受的损失；</w:t>
      </w:r>
    </w:p>
    <w:p w14:paraId="49D27824">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2、政策风险:有关法律、法规及相关政策、规则发生变化，可能引起价格等方面异常波动或导致相关资产、权利等不能变更过户，意向受让方有可能遭受的损失；</w:t>
      </w:r>
    </w:p>
    <w:p w14:paraId="1FEAC7E0">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3、利率风险:市场利率变化可能对购买或持有产品的实际收益产生的影响；</w:t>
      </w:r>
    </w:p>
    <w:p w14:paraId="7756A167">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4、不可抗力因素导致的风险；</w:t>
      </w:r>
    </w:p>
    <w:p w14:paraId="3F536079">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5、违约风险:因包括但不限于出让方或其他交易方无力或无意愿按时足额履约，意向受让方有可能遭受的损失；</w:t>
      </w:r>
    </w:p>
    <w:p w14:paraId="29B38B6E">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6、因意向受让方自身的过错导致的任何损失，该过错包括但不限于:决策失误、操作不当、盲目竞价（加价）、使用电子竞价系统时遗忘或泄露密码或密码被他人破解或使用的计算机系统被第三方侵入、委托他人代理交易时他人恶意或不当操作而造成的损失。</w:t>
      </w:r>
    </w:p>
    <w:p w14:paraId="3AB75254">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鉴于组织方在本项目相关公告及竞价须知中提供的信息与本项目项下交易项目物毕竟存在客观分离的状态，所以除组织方明示的特定情形外，组织方不对本项目交易所涉任何主体（包括但不限于出让方、意向受让方、受让方及其他第三方等）/或任何交易、交易能否产生收益以及收益的大小提供任何担保或条件，无论是明示、默示或法定的。组织方不能完全保证组织方内容的真实性、充分性、可靠性、准确性、完整性和有效性，也不承担任何由此引起的法律责任，对此，意向受让方必须谨慎判断。</w:t>
      </w:r>
    </w:p>
    <w:p w14:paraId="1C698F6B">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以上并不能揭示意向受让方通过组织方进行交易的全部风险及市场的全部情形。意向受让方在做出交易决策前，应全面了解相关交易，根据自身的交易目标、风险承受能力和资产状况等谨慎决策，并自行承担全部风险。</w:t>
      </w:r>
    </w:p>
    <w:p w14:paraId="33573DCF">
      <w:pPr>
        <w:spacing w:line="500" w:lineRule="exact"/>
        <w:ind w:firstLine="562" w:firstLineChars="200"/>
        <w:rPr>
          <w:rFonts w:ascii="宋体" w:hAnsi="宋体" w:eastAsia="宋体" w:cs="宋体"/>
          <w:b/>
          <w:sz w:val="28"/>
          <w:szCs w:val="28"/>
        </w:rPr>
      </w:pPr>
      <w:r>
        <w:rPr>
          <w:rFonts w:hint="eastAsia" w:ascii="宋体" w:hAnsi="宋体" w:eastAsia="宋体" w:cs="宋体"/>
          <w:b/>
          <w:sz w:val="28"/>
          <w:szCs w:val="28"/>
        </w:rPr>
        <w:t>当司法机关、行政机关、监察机关、国家安全部门、中国共产党纪律检查委员会等任何中国共产党和国家有关机关、部门对意向受让方（受让人）在网络竞价平台上开设账户及相关信息、所发布的信息以及意向受让方（受让人）留存于组织方账户的包括但不限于保证金、交易价款等相关财产采取包括但不限于查封、冻结、提取、扣划、罚没等措施时，意向受让方（受让人）理解并同意组织方有义务根据法律、法规等相关规定配合协助上述机关、部门采取相应的措施，由此给意向受让方（受让人）造成的损失由意向受让方（受让人）自行承担，且意向受让方（受让人）同意不就此向组织方主张任何权利。</w:t>
      </w:r>
    </w:p>
    <w:p w14:paraId="22A2BB6C">
      <w:pPr>
        <w:spacing w:before="200" w:after="200" w:line="500" w:lineRule="exact"/>
        <w:rPr>
          <w:rFonts w:ascii="宋体" w:hAnsi="宋体" w:eastAsia="宋体" w:cs="Times New Roman"/>
          <w:b/>
          <w:sz w:val="28"/>
          <w:szCs w:val="28"/>
        </w:rPr>
      </w:pPr>
      <w:r>
        <w:rPr>
          <w:rFonts w:hint="eastAsia" w:ascii="宋体" w:hAnsi="宋体" w:eastAsia="宋体" w:cs="Times New Roman"/>
          <w:b/>
          <w:sz w:val="28"/>
          <w:szCs w:val="28"/>
        </w:rPr>
        <w:t>十五、意向受让方应认真阅读并正确理解本《竞价须知》及相关农村产权交易规则等全部的条款及内容，意向受让方一旦登录第四产权平台使用，即表示对上述全部条款及内容予以确认并遵守本《竞价须知》及全部附件，无任何异议，且不可撤销地放弃对此提出任何异议或任何索赔的权利。</w:t>
      </w:r>
    </w:p>
    <w:p w14:paraId="4D11F970">
      <w:pPr>
        <w:spacing w:before="200" w:after="200" w:line="500" w:lineRule="exact"/>
        <w:rPr>
          <w:rFonts w:ascii="宋体" w:hAnsi="宋体" w:eastAsia="宋体" w:cs="Times New Roman"/>
          <w:b/>
          <w:sz w:val="28"/>
          <w:szCs w:val="28"/>
        </w:rPr>
      </w:pPr>
      <w:r>
        <w:rPr>
          <w:rFonts w:hint="eastAsia" w:ascii="宋体" w:hAnsi="宋体" w:eastAsia="宋体" w:cs="Times New Roman"/>
          <w:b/>
          <w:sz w:val="28"/>
          <w:szCs w:val="28"/>
        </w:rPr>
        <w:t>郑重提醒意向受让方：报名前请仔细核对是否符合受让方条件并对竞价资格负责；福建省产权交易中心发现不符合规定和相关条件的有权驳回报名或取消资格；在取得“登录账号及密码”后，务必注意登陆账号和密码的安全。凡使用该账号登入平台后所进行的一切报价及所做出的一切行为，均被视为账号所属注册用户的自主有效行为，该注册用户应对行为后果承担全部经济与法律责任。</w:t>
      </w:r>
    </w:p>
    <w:p w14:paraId="79811AC3">
      <w:pPr>
        <w:spacing w:before="200" w:after="200" w:line="500" w:lineRule="exact"/>
        <w:rPr>
          <w:rFonts w:ascii="宋体" w:hAnsi="宋体" w:eastAsia="宋体" w:cs="Times New Roman"/>
          <w:b/>
          <w:sz w:val="28"/>
          <w:szCs w:val="28"/>
        </w:rPr>
      </w:pPr>
      <w:r>
        <w:rPr>
          <w:rFonts w:hint="eastAsia" w:ascii="宋体" w:hAnsi="宋体" w:eastAsia="宋体" w:cs="Times New Roman"/>
          <w:b/>
          <w:sz w:val="28"/>
          <w:szCs w:val="28"/>
        </w:rPr>
        <w:t>十六、本《竞价须知》的最终解释权属于福建省产权交易中心。</w:t>
      </w:r>
    </w:p>
    <w:sectPr>
      <w:pgSz w:w="11906" w:h="16838"/>
      <w:pgMar w:top="1440" w:right="1689"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_GB2312">
    <w:altName w:val="Times New Roman"/>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6509F1"/>
    <w:multiLevelType w:val="singleLevel"/>
    <w:tmpl w:val="1C6509F1"/>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N2Y1OWIwNjAxMmUxM2JmN2JhMWVhOWVlZGQ2NzAifQ=="/>
  </w:docVars>
  <w:rsids>
    <w:rsidRoot w:val="00172A27"/>
    <w:rsid w:val="000D4ABF"/>
    <w:rsid w:val="00172A27"/>
    <w:rsid w:val="002F48F3"/>
    <w:rsid w:val="00483C85"/>
    <w:rsid w:val="008A5E32"/>
    <w:rsid w:val="00B6605E"/>
    <w:rsid w:val="01A35130"/>
    <w:rsid w:val="025D7250"/>
    <w:rsid w:val="02C1633D"/>
    <w:rsid w:val="035934A4"/>
    <w:rsid w:val="037E3418"/>
    <w:rsid w:val="0447609E"/>
    <w:rsid w:val="05C564F4"/>
    <w:rsid w:val="070C70F0"/>
    <w:rsid w:val="08AE4F35"/>
    <w:rsid w:val="08DB38CE"/>
    <w:rsid w:val="0C9507FA"/>
    <w:rsid w:val="11C4049E"/>
    <w:rsid w:val="120E5625"/>
    <w:rsid w:val="130D519E"/>
    <w:rsid w:val="14757F08"/>
    <w:rsid w:val="157D33EF"/>
    <w:rsid w:val="188E7DAF"/>
    <w:rsid w:val="1BCA0A3A"/>
    <w:rsid w:val="1BDC0DA4"/>
    <w:rsid w:val="1C641AA9"/>
    <w:rsid w:val="1C794DA8"/>
    <w:rsid w:val="20595A62"/>
    <w:rsid w:val="221B02DB"/>
    <w:rsid w:val="22D434FB"/>
    <w:rsid w:val="24021C0A"/>
    <w:rsid w:val="24623153"/>
    <w:rsid w:val="259C6E88"/>
    <w:rsid w:val="269D3BDF"/>
    <w:rsid w:val="26A258C9"/>
    <w:rsid w:val="2A0B6D0C"/>
    <w:rsid w:val="2B3FF72D"/>
    <w:rsid w:val="2C6D6FB4"/>
    <w:rsid w:val="2CF0517B"/>
    <w:rsid w:val="2DA04568"/>
    <w:rsid w:val="30A311C8"/>
    <w:rsid w:val="3174388C"/>
    <w:rsid w:val="337F07D6"/>
    <w:rsid w:val="38A049D8"/>
    <w:rsid w:val="38C85ADF"/>
    <w:rsid w:val="39EF4015"/>
    <w:rsid w:val="3AD628F1"/>
    <w:rsid w:val="3B285F53"/>
    <w:rsid w:val="3B547C8B"/>
    <w:rsid w:val="3D142B47"/>
    <w:rsid w:val="3F445150"/>
    <w:rsid w:val="3FE814B3"/>
    <w:rsid w:val="40DD12DF"/>
    <w:rsid w:val="40EF7F8C"/>
    <w:rsid w:val="40F1633F"/>
    <w:rsid w:val="416C146A"/>
    <w:rsid w:val="41E13A8C"/>
    <w:rsid w:val="4220292D"/>
    <w:rsid w:val="43000427"/>
    <w:rsid w:val="43F527E3"/>
    <w:rsid w:val="44AC60D9"/>
    <w:rsid w:val="47941BDE"/>
    <w:rsid w:val="493033D2"/>
    <w:rsid w:val="4ADC234F"/>
    <w:rsid w:val="4F9159C3"/>
    <w:rsid w:val="53BA6001"/>
    <w:rsid w:val="546E386E"/>
    <w:rsid w:val="57A47815"/>
    <w:rsid w:val="59BA792E"/>
    <w:rsid w:val="5ACF1B4E"/>
    <w:rsid w:val="5C2206C5"/>
    <w:rsid w:val="5C5B4751"/>
    <w:rsid w:val="5F9C2B1B"/>
    <w:rsid w:val="602C38A7"/>
    <w:rsid w:val="6237324E"/>
    <w:rsid w:val="63520E37"/>
    <w:rsid w:val="64FB5290"/>
    <w:rsid w:val="65834B32"/>
    <w:rsid w:val="666A7A0E"/>
    <w:rsid w:val="66870D97"/>
    <w:rsid w:val="68CF4A29"/>
    <w:rsid w:val="6961474A"/>
    <w:rsid w:val="6B5925FA"/>
    <w:rsid w:val="6C2B12BC"/>
    <w:rsid w:val="6DA57A74"/>
    <w:rsid w:val="6E9E54CE"/>
    <w:rsid w:val="71F974C2"/>
    <w:rsid w:val="72CE53D8"/>
    <w:rsid w:val="74271A77"/>
    <w:rsid w:val="7502797F"/>
    <w:rsid w:val="75871774"/>
    <w:rsid w:val="764A0100"/>
    <w:rsid w:val="787B517E"/>
    <w:rsid w:val="791724F2"/>
    <w:rsid w:val="79A90CA8"/>
    <w:rsid w:val="7DDE9766"/>
    <w:rsid w:val="7E122573"/>
    <w:rsid w:val="7E706DF0"/>
    <w:rsid w:val="7FC97466"/>
    <w:rsid w:val="7FD612C3"/>
    <w:rsid w:val="ECECF9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adjustRightInd w:val="0"/>
      <w:spacing w:line="360" w:lineRule="atLeast"/>
      <w:ind w:firstLine="425"/>
      <w:textAlignment w:val="baseline"/>
    </w:pPr>
    <w:rPr>
      <w:rFonts w:ascii="宋体"/>
      <w:kern w:val="0"/>
      <w:sz w:val="24"/>
      <w:szCs w:val="20"/>
    </w:rPr>
  </w:style>
  <w:style w:type="paragraph" w:styleId="3">
    <w:name w:val="Body Text"/>
    <w:basedOn w:val="1"/>
    <w:qFormat/>
    <w:uiPriority w:val="0"/>
    <w:pPr>
      <w:spacing w:before="40" w:after="40"/>
      <w:ind w:firstLine="200" w:firstLineChars="200"/>
      <w:jc w:val="left"/>
    </w:pPr>
    <w:rPr>
      <w:rFonts w:ascii="宋体" w:hAnsi="宋体"/>
      <w:color w:val="000000"/>
      <w:sz w:val="24"/>
    </w:rPr>
  </w:style>
  <w:style w:type="paragraph" w:styleId="4">
    <w:name w:val="Body Text Indent 2"/>
    <w:basedOn w:val="1"/>
    <w:qFormat/>
    <w:uiPriority w:val="99"/>
    <w:pPr>
      <w:spacing w:line="440" w:lineRule="atLeast"/>
      <w:ind w:left="1280" w:hanging="1280" w:hangingChars="400"/>
      <w:jc w:val="center"/>
    </w:pPr>
    <w:rPr>
      <w:rFonts w:ascii="Arial" w:hAnsi="Arial" w:eastAsia="黑体"/>
      <w:sz w:val="32"/>
      <w:szCs w:val="32"/>
    </w:rPr>
  </w:style>
  <w:style w:type="paragraph" w:styleId="5">
    <w:name w:val="Balloon Text"/>
    <w:basedOn w:val="1"/>
    <w:link w:val="13"/>
    <w:qFormat/>
    <w:uiPriority w:val="0"/>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Body Text First Indent"/>
    <w:basedOn w:val="3"/>
    <w:qFormat/>
    <w:uiPriority w:val="0"/>
    <w:pPr>
      <w:ind w:firstLine="420" w:firstLineChars="1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1"/>
    <w:basedOn w:val="1"/>
    <w:next w:val="4"/>
    <w:qFormat/>
    <w:uiPriority w:val="99"/>
    <w:pPr>
      <w:spacing w:before="60" w:after="60"/>
      <w:ind w:firstLine="425"/>
    </w:pPr>
    <w:rPr>
      <w:sz w:val="24"/>
    </w:rPr>
  </w:style>
  <w:style w:type="character" w:customStyle="1" w:styleId="12">
    <w:name w:val="font11"/>
    <w:basedOn w:val="10"/>
    <w:qFormat/>
    <w:uiPriority w:val="0"/>
    <w:rPr>
      <w:rFonts w:ascii="方正书宋_GBK" w:hAnsi="方正书宋_GBK" w:eastAsia="方正书宋_GBK" w:cs="方正书宋_GBK"/>
      <w:color w:val="000000"/>
      <w:sz w:val="18"/>
      <w:szCs w:val="18"/>
      <w:u w:val="none"/>
    </w:rPr>
  </w:style>
  <w:style w:type="character" w:customStyle="1" w:styleId="13">
    <w:name w:val="批注框文本 Char"/>
    <w:basedOn w:val="10"/>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6915</Words>
  <Characters>7304</Characters>
  <Lines>51</Lines>
  <Paragraphs>14</Paragraphs>
  <TotalTime>0</TotalTime>
  <ScaleCrop>false</ScaleCrop>
  <LinksUpToDate>false</LinksUpToDate>
  <CharactersWithSpaces>7376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2024-10-22T13:24:00Z</dcterms:created>
  <dc:creator>张刘旭</dc:creator>
  <cp:lastModifiedBy>张刘旭</cp:lastModifiedBy>
  <cp:lastPrinted>2024-11-05T06:49:00Z</cp:lastPrinted>
  <dcterms:modified xsi:type="dcterms:W3CDTF">2025-01-20T09:45:55Z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AB4035C60C9F4752A74672FD587BA592_13</vt:lpwstr>
  </property>
  <property fmtid="{D5CDD505-2E9C-101B-9397-08002B2CF9AE}" pid="4" name="KSOTemplateDocerSaveRecord">
    <vt:lpwstr>eyJoZGlkIjoiM2RjM2ZiNjAxZjJhNjgwZmJkYWNkZmJhMTgwMDIzYzIiLCJ1c2VySWQiOiIyNzQyMzM2MTYifQ==</vt:lpwstr>
  </property>
</Properties>
</file>